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0D37" w14:textId="1A671EB8" w:rsidR="003E7F80" w:rsidRPr="00C0539D" w:rsidRDefault="00C0539D" w:rsidP="00C0539D">
      <w:pPr>
        <w:spacing w:line="360" w:lineRule="auto"/>
        <w:rPr>
          <w:rFonts w:ascii="Century Gothic" w:hAnsi="Century Gothic" w:cs="Arial"/>
          <w:b/>
          <w:bCs/>
          <w:sz w:val="22"/>
          <w:szCs w:val="22"/>
          <w:u w:val="single"/>
        </w:rPr>
      </w:pPr>
      <w:r>
        <w:rPr>
          <w:rFonts w:ascii="Century Gothic" w:hAnsi="Century Gothic" w:cs="Arial"/>
          <w:b/>
          <w:bCs/>
          <w:sz w:val="22"/>
          <w:szCs w:val="22"/>
        </w:rPr>
        <w:t xml:space="preserve">                                  </w:t>
      </w:r>
      <w:r w:rsidR="003E7F80" w:rsidRPr="00C0539D">
        <w:rPr>
          <w:rFonts w:ascii="Century Gothic" w:hAnsi="Century Gothic" w:cs="Arial"/>
          <w:b/>
          <w:bCs/>
          <w:sz w:val="22"/>
          <w:szCs w:val="22"/>
          <w:u w:val="single"/>
        </w:rPr>
        <w:t>POWER OF ATTORNEY IN NIGERIA</w:t>
      </w:r>
    </w:p>
    <w:p w14:paraId="6621CD72" w14:textId="3BD565D2" w:rsidR="00E91D3E" w:rsidRPr="00C0539D" w:rsidRDefault="00C0539D" w:rsidP="003E7F80">
      <w:pPr>
        <w:spacing w:line="360" w:lineRule="auto"/>
        <w:rPr>
          <w:rFonts w:ascii="Century Gothic" w:hAnsi="Century Gothic" w:cs="Arial"/>
          <w:sz w:val="22"/>
          <w:szCs w:val="22"/>
        </w:rPr>
      </w:pPr>
      <w:r w:rsidRPr="00C0539D">
        <w:rPr>
          <w:rFonts w:ascii="Century Gothic" w:hAnsi="Century Gothic" w:cs="Arial"/>
          <w:sz w:val="22"/>
          <w:szCs w:val="22"/>
        </w:rPr>
        <w:t xml:space="preserve">     </w:t>
      </w:r>
      <w:r w:rsidR="00E91D3E" w:rsidRPr="00C0539D">
        <w:rPr>
          <w:rFonts w:ascii="Century Gothic" w:hAnsi="Century Gothic" w:cs="Arial"/>
          <w:sz w:val="22"/>
          <w:szCs w:val="22"/>
        </w:rPr>
        <w:t>Power of Attorney in Nigeria is a legal document that allows an individual to delegate their authority to another person who can make</w:t>
      </w:r>
      <w:r>
        <w:rPr>
          <w:rFonts w:ascii="Century Gothic" w:hAnsi="Century Gothic" w:cs="Arial"/>
          <w:sz w:val="22"/>
          <w:szCs w:val="22"/>
        </w:rPr>
        <w:t xml:space="preserve"> decisions and carry out instructions</w:t>
      </w:r>
      <w:r w:rsidR="00E91D3E" w:rsidRPr="00C0539D">
        <w:rPr>
          <w:rFonts w:ascii="Century Gothic" w:hAnsi="Century Gothic" w:cs="Arial"/>
          <w:sz w:val="22"/>
          <w:szCs w:val="22"/>
        </w:rPr>
        <w:t xml:space="preserve"> on their behalf. The individual granting the power is known </w:t>
      </w:r>
      <w:r>
        <w:rPr>
          <w:rFonts w:ascii="Century Gothic" w:hAnsi="Century Gothic" w:cs="Arial"/>
          <w:sz w:val="22"/>
          <w:szCs w:val="22"/>
        </w:rPr>
        <w:t xml:space="preserve">as the </w:t>
      </w:r>
      <w:r w:rsidR="00E91D3E" w:rsidRPr="00C0539D">
        <w:rPr>
          <w:rFonts w:ascii="Century Gothic" w:hAnsi="Century Gothic" w:cs="Arial"/>
          <w:sz w:val="22"/>
          <w:szCs w:val="22"/>
        </w:rPr>
        <w:t>“Principal”, while the person receiving the power is known as the “Attorney”. Similarly, the person who donates the power is called the ‘Donor’ (Principal) while the person to whom the power is donated is called the ‘Donee’ (Attorney)</w:t>
      </w:r>
      <w:r w:rsidRPr="00C0539D">
        <w:rPr>
          <w:rFonts w:ascii="Century Gothic" w:hAnsi="Century Gothic" w:cs="Arial"/>
          <w:sz w:val="22"/>
          <w:szCs w:val="22"/>
        </w:rPr>
        <w:t xml:space="preserve">. </w:t>
      </w:r>
    </w:p>
    <w:p w14:paraId="28F9EBB1" w14:textId="48E376FA" w:rsidR="00E91D3E" w:rsidRPr="00C0539D" w:rsidRDefault="00E91D3E" w:rsidP="003E7F80">
      <w:pPr>
        <w:spacing w:line="360" w:lineRule="auto"/>
        <w:rPr>
          <w:rFonts w:ascii="Century Gothic" w:hAnsi="Century Gothic" w:cs="Arial"/>
          <w:b/>
          <w:bCs/>
          <w:sz w:val="22"/>
          <w:szCs w:val="22"/>
          <w:u w:val="single"/>
        </w:rPr>
      </w:pPr>
      <w:r w:rsidRPr="00C0539D">
        <w:rPr>
          <w:rFonts w:ascii="Century Gothic" w:hAnsi="Century Gothic" w:cs="Arial"/>
          <w:b/>
          <w:bCs/>
          <w:sz w:val="22"/>
          <w:szCs w:val="22"/>
          <w:u w:val="single"/>
        </w:rPr>
        <w:t>FEATURES OF POWER OF ATTORNEY</w:t>
      </w:r>
    </w:p>
    <w:p w14:paraId="16D3B7CD" w14:textId="30D0EAEE" w:rsidR="00E91D3E" w:rsidRPr="00C0539D" w:rsidRDefault="00E91D3E" w:rsidP="003E7F80">
      <w:pPr>
        <w:numPr>
          <w:ilvl w:val="0"/>
          <w:numId w:val="1"/>
        </w:numPr>
        <w:spacing w:line="360" w:lineRule="auto"/>
        <w:rPr>
          <w:rFonts w:ascii="Century Gothic" w:hAnsi="Century Gothic" w:cs="Arial"/>
          <w:sz w:val="22"/>
          <w:szCs w:val="22"/>
        </w:rPr>
      </w:pPr>
      <w:r w:rsidRPr="00C0539D">
        <w:rPr>
          <w:rFonts w:ascii="Century Gothic" w:hAnsi="Century Gothic" w:cs="Arial"/>
          <w:sz w:val="22"/>
          <w:szCs w:val="22"/>
        </w:rPr>
        <w:t>A Power of Attorney (POA) is an instrument of delegation, not an instrument of alienation. It cannot be used to transfer an interest in land.</w:t>
      </w:r>
      <w:r w:rsidRPr="00C0539D">
        <w:rPr>
          <w:rFonts w:ascii="Century Gothic" w:hAnsi="Century Gothic" w:cs="Arial"/>
          <w:sz w:val="22"/>
          <w:szCs w:val="22"/>
        </w:rPr>
        <w:br/>
      </w:r>
      <w:r w:rsidRPr="00C0539D">
        <w:rPr>
          <w:rFonts w:ascii="Century Gothic" w:hAnsi="Century Gothic" w:cs="Arial"/>
          <w:i/>
          <w:iCs/>
          <w:sz w:val="22"/>
          <w:szCs w:val="22"/>
        </w:rPr>
        <w:t>See:</w:t>
      </w:r>
      <w:r w:rsidRPr="00C0539D">
        <w:rPr>
          <w:rFonts w:ascii="Century Gothic" w:hAnsi="Century Gothic" w:cs="Arial"/>
          <w:sz w:val="22"/>
          <w:szCs w:val="22"/>
        </w:rPr>
        <w:t xml:space="preserve"> </w:t>
      </w:r>
      <w:r w:rsidRPr="00C0539D">
        <w:rPr>
          <w:rFonts w:ascii="Century Gothic" w:hAnsi="Century Gothic" w:cs="Arial"/>
          <w:b/>
          <w:bCs/>
          <w:sz w:val="22"/>
          <w:szCs w:val="22"/>
        </w:rPr>
        <w:t xml:space="preserve">Ude v. </w:t>
      </w:r>
      <w:proofErr w:type="spellStart"/>
      <w:r w:rsidRPr="00C0539D">
        <w:rPr>
          <w:rFonts w:ascii="Century Gothic" w:hAnsi="Century Gothic" w:cs="Arial"/>
          <w:b/>
          <w:bCs/>
          <w:sz w:val="22"/>
          <w:szCs w:val="22"/>
        </w:rPr>
        <w:t>Nwara</w:t>
      </w:r>
      <w:proofErr w:type="spellEnd"/>
      <w:r w:rsidR="00C0539D">
        <w:rPr>
          <w:rStyle w:val="FootnoteReference"/>
          <w:rFonts w:ascii="Century Gothic" w:hAnsi="Century Gothic" w:cs="Arial"/>
          <w:b/>
          <w:bCs/>
          <w:sz w:val="22"/>
          <w:szCs w:val="22"/>
        </w:rPr>
        <w:footnoteReference w:id="1"/>
      </w:r>
    </w:p>
    <w:p w14:paraId="533EE66C" w14:textId="0EFB87E1" w:rsidR="00E91D3E" w:rsidRPr="00C0539D" w:rsidRDefault="00E91D3E" w:rsidP="003E7F80">
      <w:pPr>
        <w:numPr>
          <w:ilvl w:val="0"/>
          <w:numId w:val="1"/>
        </w:numPr>
        <w:spacing w:line="360" w:lineRule="auto"/>
        <w:rPr>
          <w:rFonts w:ascii="Century Gothic" w:hAnsi="Century Gothic" w:cs="Arial"/>
          <w:sz w:val="22"/>
          <w:szCs w:val="22"/>
        </w:rPr>
      </w:pPr>
      <w:r w:rsidRPr="00C0539D">
        <w:rPr>
          <w:rFonts w:ascii="Century Gothic" w:hAnsi="Century Gothic" w:cs="Arial"/>
          <w:sz w:val="22"/>
          <w:szCs w:val="22"/>
        </w:rPr>
        <w:t xml:space="preserve">A POA is typically executed in the form of a </w:t>
      </w:r>
      <w:r w:rsidRPr="00C0539D">
        <w:rPr>
          <w:rFonts w:ascii="Century Gothic" w:hAnsi="Century Gothic" w:cs="Arial"/>
          <w:b/>
          <w:bCs/>
          <w:sz w:val="22"/>
          <w:szCs w:val="22"/>
        </w:rPr>
        <w:t>Deed Poll</w:t>
      </w:r>
      <w:r w:rsidRPr="00C0539D">
        <w:rPr>
          <w:rFonts w:ascii="Century Gothic" w:hAnsi="Century Gothic" w:cs="Arial"/>
          <w:sz w:val="22"/>
          <w:szCs w:val="22"/>
        </w:rPr>
        <w:t>—that is, an instrument signed only by the donor.</w:t>
      </w:r>
      <w:r w:rsidRPr="00C0539D">
        <w:rPr>
          <w:rFonts w:ascii="Century Gothic" w:hAnsi="Century Gothic" w:cs="Arial"/>
          <w:sz w:val="22"/>
          <w:szCs w:val="22"/>
        </w:rPr>
        <w:br/>
      </w:r>
      <w:r w:rsidRPr="00C0539D">
        <w:rPr>
          <w:rFonts w:ascii="Century Gothic" w:hAnsi="Century Gothic" w:cs="Arial"/>
          <w:i/>
          <w:iCs/>
          <w:sz w:val="22"/>
          <w:szCs w:val="22"/>
        </w:rPr>
        <w:t>Note:</w:t>
      </w:r>
      <w:r w:rsidRPr="00C0539D">
        <w:rPr>
          <w:rFonts w:ascii="Century Gothic" w:hAnsi="Century Gothic" w:cs="Arial"/>
          <w:sz w:val="22"/>
          <w:szCs w:val="22"/>
        </w:rPr>
        <w:t xml:space="preserve"> It is advisable for the </w:t>
      </w:r>
      <w:r w:rsidR="00C0539D" w:rsidRPr="00C0539D">
        <w:rPr>
          <w:rFonts w:ascii="Century Gothic" w:hAnsi="Century Gothic" w:cs="Arial"/>
          <w:sz w:val="22"/>
          <w:szCs w:val="22"/>
        </w:rPr>
        <w:t>Donee</w:t>
      </w:r>
      <w:r w:rsidRPr="00C0539D">
        <w:rPr>
          <w:rFonts w:ascii="Century Gothic" w:hAnsi="Century Gothic" w:cs="Arial"/>
          <w:sz w:val="22"/>
          <w:szCs w:val="22"/>
        </w:rPr>
        <w:t xml:space="preserve"> to also sign the POA if consideration was given or if the POA was issued in fulfillment of an obligation.</w:t>
      </w:r>
    </w:p>
    <w:p w14:paraId="2F1AAADB" w14:textId="62987CA8" w:rsidR="00E91D3E" w:rsidRPr="00C0539D" w:rsidRDefault="00E91D3E" w:rsidP="003E7F80">
      <w:pPr>
        <w:numPr>
          <w:ilvl w:val="0"/>
          <w:numId w:val="1"/>
        </w:numPr>
        <w:spacing w:line="360" w:lineRule="auto"/>
        <w:rPr>
          <w:rFonts w:ascii="Century Gothic" w:hAnsi="Century Gothic" w:cs="Arial"/>
          <w:sz w:val="22"/>
          <w:szCs w:val="22"/>
        </w:rPr>
      </w:pPr>
      <w:r w:rsidRPr="00C0539D">
        <w:rPr>
          <w:rFonts w:ascii="Century Gothic" w:hAnsi="Century Gothic" w:cs="Arial"/>
          <w:sz w:val="22"/>
          <w:szCs w:val="22"/>
        </w:rPr>
        <w:t xml:space="preserve">A POA must be given </w:t>
      </w:r>
      <w:r w:rsidRPr="00135056">
        <w:rPr>
          <w:rFonts w:ascii="Century Gothic" w:hAnsi="Century Gothic" w:cs="Arial"/>
          <w:b/>
          <w:bCs/>
          <w:sz w:val="22"/>
          <w:szCs w:val="22"/>
        </w:rPr>
        <w:t>in writing</w:t>
      </w:r>
      <w:r w:rsidRPr="00C0539D">
        <w:rPr>
          <w:rFonts w:ascii="Century Gothic" w:hAnsi="Century Gothic" w:cs="Arial"/>
          <w:sz w:val="22"/>
          <w:szCs w:val="22"/>
        </w:rPr>
        <w:t>; it cannot be created orally, such as via a phone call.</w:t>
      </w:r>
      <w:r w:rsidRPr="00C0539D">
        <w:rPr>
          <w:rFonts w:ascii="Century Gothic" w:hAnsi="Century Gothic" w:cs="Arial"/>
          <w:sz w:val="22"/>
          <w:szCs w:val="22"/>
        </w:rPr>
        <w:br/>
      </w:r>
      <w:r w:rsidRPr="00C0539D">
        <w:rPr>
          <w:rFonts w:ascii="Century Gothic" w:hAnsi="Century Gothic" w:cs="Arial"/>
          <w:i/>
          <w:iCs/>
          <w:sz w:val="22"/>
          <w:szCs w:val="22"/>
        </w:rPr>
        <w:t>See:</w:t>
      </w:r>
      <w:r w:rsidRPr="00C0539D">
        <w:rPr>
          <w:rFonts w:ascii="Century Gothic" w:hAnsi="Century Gothic" w:cs="Arial"/>
          <w:sz w:val="22"/>
          <w:szCs w:val="22"/>
        </w:rPr>
        <w:t xml:space="preserve"> </w:t>
      </w:r>
      <w:r w:rsidRPr="00C0539D">
        <w:rPr>
          <w:rFonts w:ascii="Century Gothic" w:hAnsi="Century Gothic" w:cs="Arial"/>
          <w:b/>
          <w:bCs/>
          <w:sz w:val="22"/>
          <w:szCs w:val="22"/>
        </w:rPr>
        <w:t xml:space="preserve">Raine v. </w:t>
      </w:r>
      <w:proofErr w:type="spellStart"/>
      <w:r w:rsidRPr="00C0539D">
        <w:rPr>
          <w:rFonts w:ascii="Century Gothic" w:hAnsi="Century Gothic" w:cs="Arial"/>
          <w:b/>
          <w:bCs/>
          <w:sz w:val="22"/>
          <w:szCs w:val="22"/>
        </w:rPr>
        <w:t>Odibo</w:t>
      </w:r>
      <w:proofErr w:type="spellEnd"/>
      <w:r w:rsidR="00C0539D">
        <w:rPr>
          <w:rStyle w:val="FootnoteReference"/>
          <w:rFonts w:ascii="Century Gothic" w:hAnsi="Century Gothic" w:cs="Arial"/>
          <w:b/>
          <w:bCs/>
          <w:sz w:val="22"/>
          <w:szCs w:val="22"/>
        </w:rPr>
        <w:footnoteReference w:id="2"/>
      </w:r>
      <w:r w:rsidRPr="00C0539D">
        <w:rPr>
          <w:rFonts w:ascii="Century Gothic" w:hAnsi="Century Gothic" w:cs="Arial"/>
          <w:sz w:val="22"/>
          <w:szCs w:val="22"/>
        </w:rPr>
        <w:t>.</w:t>
      </w:r>
    </w:p>
    <w:p w14:paraId="68DF0A51" w14:textId="5F73B314" w:rsidR="003B4ACD" w:rsidRPr="00C0539D" w:rsidRDefault="00E91D3E" w:rsidP="003B4ACD">
      <w:pPr>
        <w:numPr>
          <w:ilvl w:val="0"/>
          <w:numId w:val="1"/>
        </w:numPr>
        <w:spacing w:line="360" w:lineRule="auto"/>
        <w:rPr>
          <w:rFonts w:ascii="Century Gothic" w:hAnsi="Century Gothic" w:cs="Arial"/>
          <w:sz w:val="22"/>
          <w:szCs w:val="22"/>
        </w:rPr>
      </w:pPr>
      <w:r w:rsidRPr="00C0539D">
        <w:rPr>
          <w:rFonts w:ascii="Century Gothic" w:hAnsi="Century Gothic" w:cs="Arial"/>
          <w:sz w:val="22"/>
          <w:szCs w:val="22"/>
        </w:rPr>
        <w:t xml:space="preserve">Although a POA generally need not be executed as a deed, it </w:t>
      </w:r>
      <w:r w:rsidRPr="00135056">
        <w:rPr>
          <w:rFonts w:ascii="Century Gothic" w:hAnsi="Century Gothic" w:cs="Arial"/>
          <w:bCs/>
          <w:sz w:val="22"/>
          <w:szCs w:val="22"/>
        </w:rPr>
        <w:t>must</w:t>
      </w:r>
      <w:r w:rsidRPr="00135056">
        <w:rPr>
          <w:rFonts w:ascii="Century Gothic" w:hAnsi="Century Gothic" w:cs="Arial"/>
          <w:sz w:val="22"/>
          <w:szCs w:val="22"/>
        </w:rPr>
        <w:t xml:space="preserve"> </w:t>
      </w:r>
      <w:r w:rsidRPr="00C0539D">
        <w:rPr>
          <w:rFonts w:ascii="Century Gothic" w:hAnsi="Century Gothic" w:cs="Arial"/>
          <w:sz w:val="22"/>
          <w:szCs w:val="22"/>
        </w:rPr>
        <w:t xml:space="preserve">be by deed if the </w:t>
      </w:r>
      <w:proofErr w:type="spellStart"/>
      <w:r w:rsidRPr="00C0539D">
        <w:rPr>
          <w:rFonts w:ascii="Century Gothic" w:hAnsi="Century Gothic" w:cs="Arial"/>
          <w:sz w:val="22"/>
          <w:szCs w:val="22"/>
        </w:rPr>
        <w:t>donee</w:t>
      </w:r>
      <w:proofErr w:type="spellEnd"/>
      <w:r w:rsidRPr="00C0539D">
        <w:rPr>
          <w:rFonts w:ascii="Century Gothic" w:hAnsi="Century Gothic" w:cs="Arial"/>
          <w:sz w:val="22"/>
          <w:szCs w:val="22"/>
        </w:rPr>
        <w:t xml:space="preserve"> is authorized to perform acts that themselves require a deed (e.g., selling land, creating a legal mortgage, or granting a lease for more than three years).</w:t>
      </w:r>
      <w:r w:rsidRPr="00C0539D">
        <w:rPr>
          <w:rFonts w:ascii="Century Gothic" w:hAnsi="Century Gothic" w:cs="Arial"/>
          <w:sz w:val="22"/>
          <w:szCs w:val="22"/>
        </w:rPr>
        <w:br/>
      </w:r>
      <w:r w:rsidRPr="00C0539D">
        <w:rPr>
          <w:rFonts w:ascii="Century Gothic" w:hAnsi="Century Gothic" w:cs="Arial"/>
          <w:i/>
          <w:iCs/>
          <w:sz w:val="22"/>
          <w:szCs w:val="22"/>
        </w:rPr>
        <w:t>See:</w:t>
      </w:r>
      <w:r w:rsidRPr="00C0539D">
        <w:rPr>
          <w:rFonts w:ascii="Century Gothic" w:hAnsi="Century Gothic" w:cs="Arial"/>
          <w:sz w:val="22"/>
          <w:szCs w:val="22"/>
        </w:rPr>
        <w:t xml:space="preserve"> </w:t>
      </w:r>
      <w:r w:rsidRPr="00C0539D">
        <w:rPr>
          <w:rFonts w:ascii="Century Gothic" w:hAnsi="Century Gothic" w:cs="Arial"/>
          <w:b/>
          <w:bCs/>
          <w:sz w:val="22"/>
          <w:szCs w:val="22"/>
        </w:rPr>
        <w:t xml:space="preserve">Abina v. </w:t>
      </w:r>
      <w:proofErr w:type="spellStart"/>
      <w:r w:rsidRPr="00C0539D">
        <w:rPr>
          <w:rFonts w:ascii="Century Gothic" w:hAnsi="Century Gothic" w:cs="Arial"/>
          <w:b/>
          <w:bCs/>
          <w:sz w:val="22"/>
          <w:szCs w:val="22"/>
        </w:rPr>
        <w:t>Farhat</w:t>
      </w:r>
      <w:proofErr w:type="spellEnd"/>
      <w:r w:rsidR="00135056">
        <w:rPr>
          <w:rStyle w:val="FootnoteReference"/>
          <w:rFonts w:ascii="Century Gothic" w:hAnsi="Century Gothic" w:cs="Arial"/>
          <w:b/>
          <w:bCs/>
          <w:sz w:val="22"/>
          <w:szCs w:val="22"/>
        </w:rPr>
        <w:footnoteReference w:id="3"/>
      </w:r>
      <w:r w:rsidR="003B4ACD" w:rsidRPr="00C0539D">
        <w:rPr>
          <w:rFonts w:ascii="Century Gothic" w:hAnsi="Century Gothic" w:cs="Arial"/>
          <w:b/>
          <w:bCs/>
          <w:sz w:val="22"/>
          <w:szCs w:val="22"/>
        </w:rPr>
        <w:t xml:space="preserve"> </w:t>
      </w:r>
    </w:p>
    <w:p w14:paraId="420864ED" w14:textId="4AD8591A" w:rsidR="00E91D3E" w:rsidRPr="00C0539D" w:rsidRDefault="00E91D3E" w:rsidP="003B4ACD">
      <w:pPr>
        <w:spacing w:line="360" w:lineRule="auto"/>
        <w:ind w:left="720"/>
        <w:rPr>
          <w:rFonts w:ascii="Century Gothic" w:hAnsi="Century Gothic" w:cs="Arial"/>
          <w:sz w:val="22"/>
          <w:szCs w:val="22"/>
        </w:rPr>
      </w:pPr>
      <w:r w:rsidRPr="00C0539D">
        <w:rPr>
          <w:rFonts w:ascii="Century Gothic" w:hAnsi="Century Gothic" w:cs="Arial"/>
          <w:sz w:val="22"/>
          <w:szCs w:val="22"/>
        </w:rPr>
        <w:t xml:space="preserve">For a </w:t>
      </w:r>
      <w:proofErr w:type="spellStart"/>
      <w:r w:rsidRPr="00C0539D">
        <w:rPr>
          <w:rFonts w:ascii="Century Gothic" w:hAnsi="Century Gothic" w:cs="Arial"/>
          <w:sz w:val="22"/>
          <w:szCs w:val="22"/>
        </w:rPr>
        <w:t>donee</w:t>
      </w:r>
      <w:proofErr w:type="spellEnd"/>
      <w:r w:rsidRPr="00C0539D">
        <w:rPr>
          <w:rFonts w:ascii="Century Gothic" w:hAnsi="Century Gothic" w:cs="Arial"/>
          <w:sz w:val="22"/>
          <w:szCs w:val="22"/>
        </w:rPr>
        <w:t xml:space="preserve"> to transfer property by deed, the POA appointing him must itself be executed as a deed.</w:t>
      </w:r>
    </w:p>
    <w:p w14:paraId="5714BC80" w14:textId="56035BD7" w:rsidR="00E91D3E" w:rsidRPr="00C0539D" w:rsidRDefault="00E91D3E" w:rsidP="003E7F80">
      <w:pPr>
        <w:numPr>
          <w:ilvl w:val="0"/>
          <w:numId w:val="1"/>
        </w:numPr>
        <w:spacing w:line="360" w:lineRule="auto"/>
        <w:rPr>
          <w:rFonts w:ascii="Century Gothic" w:hAnsi="Century Gothic" w:cs="Arial"/>
          <w:sz w:val="22"/>
          <w:szCs w:val="22"/>
        </w:rPr>
      </w:pPr>
      <w:r w:rsidRPr="00C0539D">
        <w:rPr>
          <w:rFonts w:ascii="Century Gothic" w:hAnsi="Century Gothic" w:cs="Arial"/>
          <w:sz w:val="22"/>
          <w:szCs w:val="22"/>
        </w:rPr>
        <w:lastRenderedPageBreak/>
        <w:t xml:space="preserve">As long as the </w:t>
      </w:r>
      <w:proofErr w:type="spellStart"/>
      <w:r w:rsidRPr="00C0539D">
        <w:rPr>
          <w:rFonts w:ascii="Century Gothic" w:hAnsi="Century Gothic" w:cs="Arial"/>
          <w:sz w:val="22"/>
          <w:szCs w:val="22"/>
        </w:rPr>
        <w:t>donee</w:t>
      </w:r>
      <w:proofErr w:type="spellEnd"/>
      <w:r w:rsidRPr="00C0539D">
        <w:rPr>
          <w:rFonts w:ascii="Century Gothic" w:hAnsi="Century Gothic" w:cs="Arial"/>
          <w:sz w:val="22"/>
          <w:szCs w:val="22"/>
        </w:rPr>
        <w:t xml:space="preserve"> acts </w:t>
      </w:r>
      <w:r w:rsidRPr="00C0539D">
        <w:rPr>
          <w:rFonts w:ascii="Century Gothic" w:hAnsi="Century Gothic" w:cs="Arial"/>
          <w:b/>
          <w:bCs/>
          <w:sz w:val="22"/>
          <w:szCs w:val="22"/>
        </w:rPr>
        <w:t>within the scope</w:t>
      </w:r>
      <w:r w:rsidRPr="00C0539D">
        <w:rPr>
          <w:rFonts w:ascii="Century Gothic" w:hAnsi="Century Gothic" w:cs="Arial"/>
          <w:sz w:val="22"/>
          <w:szCs w:val="22"/>
        </w:rPr>
        <w:t xml:space="preserve"> of the authority granted by the POA, he incurs no personal liability; any resulting liability rests on the donor.</w:t>
      </w:r>
      <w:r w:rsidRPr="00C0539D">
        <w:rPr>
          <w:rFonts w:ascii="Century Gothic" w:hAnsi="Century Gothic" w:cs="Arial"/>
          <w:sz w:val="22"/>
          <w:szCs w:val="22"/>
        </w:rPr>
        <w:br/>
      </w:r>
      <w:r w:rsidRPr="00C0539D">
        <w:rPr>
          <w:rFonts w:ascii="Century Gothic" w:hAnsi="Century Gothic" w:cs="Arial"/>
          <w:i/>
          <w:iCs/>
          <w:sz w:val="22"/>
          <w:szCs w:val="22"/>
        </w:rPr>
        <w:t>See:</w:t>
      </w:r>
      <w:r w:rsidRPr="00C0539D">
        <w:rPr>
          <w:rFonts w:ascii="Century Gothic" w:hAnsi="Century Gothic" w:cs="Arial"/>
          <w:sz w:val="22"/>
          <w:szCs w:val="22"/>
        </w:rPr>
        <w:t xml:space="preserve"> </w:t>
      </w:r>
      <w:r w:rsidRPr="00C0539D">
        <w:rPr>
          <w:rFonts w:ascii="Century Gothic" w:hAnsi="Century Gothic" w:cs="Arial"/>
          <w:b/>
          <w:bCs/>
          <w:sz w:val="22"/>
          <w:szCs w:val="22"/>
        </w:rPr>
        <w:t xml:space="preserve">Ude v. </w:t>
      </w:r>
      <w:proofErr w:type="spellStart"/>
      <w:r w:rsidRPr="00C0539D">
        <w:rPr>
          <w:rFonts w:ascii="Century Gothic" w:hAnsi="Century Gothic" w:cs="Arial"/>
          <w:b/>
          <w:bCs/>
          <w:sz w:val="22"/>
          <w:szCs w:val="22"/>
        </w:rPr>
        <w:t>Nwara</w:t>
      </w:r>
      <w:proofErr w:type="spellEnd"/>
      <w:r w:rsidR="00135056">
        <w:rPr>
          <w:rStyle w:val="FootnoteReference"/>
          <w:rFonts w:ascii="Century Gothic" w:hAnsi="Century Gothic" w:cs="Arial"/>
          <w:b/>
          <w:bCs/>
          <w:sz w:val="22"/>
          <w:szCs w:val="22"/>
        </w:rPr>
        <w:footnoteReference w:id="4"/>
      </w:r>
      <w:r w:rsidRPr="00C0539D">
        <w:rPr>
          <w:rFonts w:ascii="Century Gothic" w:hAnsi="Century Gothic" w:cs="Arial"/>
          <w:sz w:val="22"/>
          <w:szCs w:val="22"/>
        </w:rPr>
        <w:t>.</w:t>
      </w:r>
    </w:p>
    <w:p w14:paraId="519063A0" w14:textId="3D2F76DB" w:rsidR="00E91D3E" w:rsidRPr="00C0539D" w:rsidRDefault="00E91D3E" w:rsidP="003E7F80">
      <w:pPr>
        <w:numPr>
          <w:ilvl w:val="0"/>
          <w:numId w:val="1"/>
        </w:numPr>
        <w:spacing w:line="360" w:lineRule="auto"/>
        <w:rPr>
          <w:rFonts w:ascii="Century Gothic" w:hAnsi="Century Gothic" w:cs="Arial"/>
          <w:sz w:val="22"/>
          <w:szCs w:val="22"/>
        </w:rPr>
      </w:pPr>
      <w:r w:rsidRPr="00C0539D">
        <w:rPr>
          <w:rFonts w:ascii="Century Gothic" w:hAnsi="Century Gothic" w:cs="Arial"/>
          <w:sz w:val="22"/>
          <w:szCs w:val="22"/>
        </w:rPr>
        <w:t xml:space="preserve">The donor of a POA retains the right to exercise the powers conferred on the </w:t>
      </w:r>
      <w:proofErr w:type="spellStart"/>
      <w:r w:rsidRPr="00C0539D">
        <w:rPr>
          <w:rFonts w:ascii="Century Gothic" w:hAnsi="Century Gothic" w:cs="Arial"/>
          <w:sz w:val="22"/>
          <w:szCs w:val="22"/>
        </w:rPr>
        <w:t>donee</w:t>
      </w:r>
      <w:proofErr w:type="spellEnd"/>
      <w:r w:rsidRPr="00C0539D">
        <w:rPr>
          <w:rFonts w:ascii="Century Gothic" w:hAnsi="Century Gothic" w:cs="Arial"/>
          <w:sz w:val="22"/>
          <w:szCs w:val="22"/>
        </w:rPr>
        <w:t xml:space="preserve">. Such actions by the donor imply a </w:t>
      </w:r>
      <w:r w:rsidRPr="00C0539D">
        <w:rPr>
          <w:rFonts w:ascii="Century Gothic" w:hAnsi="Century Gothic" w:cs="Arial"/>
          <w:b/>
          <w:bCs/>
          <w:sz w:val="22"/>
          <w:szCs w:val="22"/>
        </w:rPr>
        <w:t>revocation</w:t>
      </w:r>
      <w:r w:rsidRPr="00C0539D">
        <w:rPr>
          <w:rFonts w:ascii="Century Gothic" w:hAnsi="Century Gothic" w:cs="Arial"/>
          <w:sz w:val="22"/>
          <w:szCs w:val="22"/>
        </w:rPr>
        <w:t xml:space="preserve"> of the POA.</w:t>
      </w:r>
      <w:r w:rsidRPr="00C0539D">
        <w:rPr>
          <w:rFonts w:ascii="Century Gothic" w:hAnsi="Century Gothic" w:cs="Arial"/>
          <w:sz w:val="22"/>
          <w:szCs w:val="22"/>
        </w:rPr>
        <w:br/>
      </w:r>
      <w:r w:rsidRPr="00C0539D">
        <w:rPr>
          <w:rFonts w:ascii="Century Gothic" w:hAnsi="Century Gothic" w:cs="Arial"/>
          <w:i/>
          <w:iCs/>
          <w:sz w:val="22"/>
          <w:szCs w:val="22"/>
        </w:rPr>
        <w:t>See:</w:t>
      </w:r>
      <w:r w:rsidRPr="00C0539D">
        <w:rPr>
          <w:rFonts w:ascii="Century Gothic" w:hAnsi="Century Gothic" w:cs="Arial"/>
          <w:sz w:val="22"/>
          <w:szCs w:val="22"/>
        </w:rPr>
        <w:t xml:space="preserve"> </w:t>
      </w:r>
      <w:r w:rsidRPr="00C0539D">
        <w:rPr>
          <w:rFonts w:ascii="Century Gothic" w:hAnsi="Century Gothic" w:cs="Arial"/>
          <w:b/>
          <w:bCs/>
          <w:sz w:val="22"/>
          <w:szCs w:val="22"/>
        </w:rPr>
        <w:t>Chime v. Chime</w:t>
      </w:r>
      <w:r w:rsidR="00135056">
        <w:rPr>
          <w:rStyle w:val="FootnoteReference"/>
          <w:rFonts w:ascii="Century Gothic" w:hAnsi="Century Gothic" w:cs="Arial"/>
          <w:b/>
          <w:bCs/>
          <w:sz w:val="22"/>
          <w:szCs w:val="22"/>
        </w:rPr>
        <w:footnoteReference w:id="5"/>
      </w:r>
      <w:r w:rsidRPr="00C0539D">
        <w:rPr>
          <w:rFonts w:ascii="Century Gothic" w:hAnsi="Century Gothic" w:cs="Arial"/>
          <w:sz w:val="22"/>
          <w:szCs w:val="22"/>
        </w:rPr>
        <w:t>.</w:t>
      </w:r>
    </w:p>
    <w:p w14:paraId="2B4AC4E5" w14:textId="4C1E9267" w:rsidR="00E91D3E" w:rsidRPr="00C0539D" w:rsidRDefault="00E91D3E" w:rsidP="003E7F80">
      <w:pPr>
        <w:numPr>
          <w:ilvl w:val="0"/>
          <w:numId w:val="1"/>
        </w:numPr>
        <w:spacing w:line="360" w:lineRule="auto"/>
        <w:rPr>
          <w:rFonts w:ascii="Century Gothic" w:hAnsi="Century Gothic" w:cs="Arial"/>
          <w:sz w:val="22"/>
          <w:szCs w:val="22"/>
        </w:rPr>
      </w:pPr>
      <w:r w:rsidRPr="00C0539D">
        <w:rPr>
          <w:rFonts w:ascii="Century Gothic" w:hAnsi="Century Gothic" w:cs="Arial"/>
          <w:sz w:val="22"/>
          <w:szCs w:val="22"/>
        </w:rPr>
        <w:t xml:space="preserve">The </w:t>
      </w:r>
      <w:proofErr w:type="spellStart"/>
      <w:r w:rsidRPr="00C0539D">
        <w:rPr>
          <w:rFonts w:ascii="Century Gothic" w:hAnsi="Century Gothic" w:cs="Arial"/>
          <w:sz w:val="22"/>
          <w:szCs w:val="22"/>
        </w:rPr>
        <w:t>donee</w:t>
      </w:r>
      <w:proofErr w:type="spellEnd"/>
      <w:r w:rsidRPr="00C0539D">
        <w:rPr>
          <w:rFonts w:ascii="Century Gothic" w:hAnsi="Century Gothic" w:cs="Arial"/>
          <w:sz w:val="22"/>
          <w:szCs w:val="22"/>
        </w:rPr>
        <w:t xml:space="preserve"> of a POA cannot sue in his </w:t>
      </w:r>
      <w:r w:rsidR="003B4ACD" w:rsidRPr="00C0539D">
        <w:rPr>
          <w:rFonts w:ascii="Century Gothic" w:hAnsi="Century Gothic" w:cs="Arial"/>
          <w:sz w:val="22"/>
          <w:szCs w:val="22"/>
        </w:rPr>
        <w:t xml:space="preserve">own </w:t>
      </w:r>
      <w:r w:rsidRPr="00C0539D">
        <w:rPr>
          <w:rFonts w:ascii="Century Gothic" w:hAnsi="Century Gothic" w:cs="Arial"/>
          <w:sz w:val="22"/>
          <w:szCs w:val="22"/>
        </w:rPr>
        <w:t>name; any legal action must be instituted in the name of the donor.</w:t>
      </w:r>
      <w:r w:rsidRPr="00C0539D">
        <w:rPr>
          <w:rFonts w:ascii="Century Gothic" w:hAnsi="Century Gothic" w:cs="Arial"/>
          <w:sz w:val="22"/>
          <w:szCs w:val="22"/>
        </w:rPr>
        <w:br/>
      </w:r>
      <w:r w:rsidRPr="00C0539D">
        <w:rPr>
          <w:rFonts w:ascii="Century Gothic" w:hAnsi="Century Gothic" w:cs="Arial"/>
          <w:i/>
          <w:iCs/>
          <w:sz w:val="22"/>
          <w:szCs w:val="22"/>
        </w:rPr>
        <w:t>See:</w:t>
      </w:r>
      <w:r w:rsidRPr="00C0539D">
        <w:rPr>
          <w:rFonts w:ascii="Century Gothic" w:hAnsi="Century Gothic" w:cs="Arial"/>
          <w:sz w:val="22"/>
          <w:szCs w:val="22"/>
        </w:rPr>
        <w:t xml:space="preserve"> </w:t>
      </w:r>
      <w:r w:rsidRPr="00C0539D">
        <w:rPr>
          <w:rFonts w:ascii="Century Gothic" w:hAnsi="Century Gothic" w:cs="Arial"/>
          <w:b/>
          <w:bCs/>
          <w:sz w:val="22"/>
          <w:szCs w:val="22"/>
        </w:rPr>
        <w:t xml:space="preserve">Ude v. </w:t>
      </w:r>
      <w:proofErr w:type="spellStart"/>
      <w:r w:rsidRPr="00C0539D">
        <w:rPr>
          <w:rFonts w:ascii="Century Gothic" w:hAnsi="Century Gothic" w:cs="Arial"/>
          <w:b/>
          <w:bCs/>
          <w:sz w:val="22"/>
          <w:szCs w:val="22"/>
        </w:rPr>
        <w:t>Nwara</w:t>
      </w:r>
      <w:proofErr w:type="spellEnd"/>
      <w:r w:rsidR="00135056">
        <w:rPr>
          <w:rStyle w:val="FootnoteReference"/>
          <w:rFonts w:ascii="Century Gothic" w:hAnsi="Century Gothic" w:cs="Arial"/>
          <w:b/>
          <w:bCs/>
          <w:sz w:val="22"/>
          <w:szCs w:val="22"/>
        </w:rPr>
        <w:footnoteReference w:id="6"/>
      </w:r>
      <w:r w:rsidRPr="00C0539D">
        <w:rPr>
          <w:rFonts w:ascii="Century Gothic" w:hAnsi="Century Gothic" w:cs="Arial"/>
          <w:sz w:val="22"/>
          <w:szCs w:val="22"/>
        </w:rPr>
        <w:t>.</w:t>
      </w:r>
    </w:p>
    <w:p w14:paraId="6E7061E0" w14:textId="152BECD5" w:rsidR="00E91D3E" w:rsidRPr="00C0539D" w:rsidRDefault="00E91D3E" w:rsidP="003E7F80">
      <w:pPr>
        <w:numPr>
          <w:ilvl w:val="0"/>
          <w:numId w:val="1"/>
        </w:numPr>
        <w:spacing w:line="360" w:lineRule="auto"/>
        <w:rPr>
          <w:rFonts w:ascii="Century Gothic" w:hAnsi="Century Gothic" w:cs="Arial"/>
          <w:sz w:val="22"/>
          <w:szCs w:val="22"/>
        </w:rPr>
      </w:pPr>
      <w:r w:rsidRPr="00C0539D">
        <w:rPr>
          <w:rFonts w:ascii="Century Gothic" w:hAnsi="Century Gothic" w:cs="Arial"/>
          <w:sz w:val="22"/>
          <w:szCs w:val="22"/>
        </w:rPr>
        <w:t xml:space="preserve">A POA does </w:t>
      </w:r>
      <w:r w:rsidRPr="00C0539D">
        <w:rPr>
          <w:rFonts w:ascii="Century Gothic" w:hAnsi="Century Gothic" w:cs="Arial"/>
          <w:b/>
          <w:bCs/>
          <w:sz w:val="22"/>
          <w:szCs w:val="22"/>
        </w:rPr>
        <w:t>not transfer an interest in land</w:t>
      </w:r>
      <w:r w:rsidRPr="00C0539D">
        <w:rPr>
          <w:rFonts w:ascii="Century Gothic" w:hAnsi="Century Gothic" w:cs="Arial"/>
          <w:sz w:val="22"/>
          <w:szCs w:val="22"/>
        </w:rPr>
        <w:t xml:space="preserve"> and is </w:t>
      </w:r>
      <w:r w:rsidRPr="00C0539D">
        <w:rPr>
          <w:rFonts w:ascii="Century Gothic" w:hAnsi="Century Gothic" w:cs="Arial"/>
          <w:b/>
          <w:bCs/>
          <w:sz w:val="22"/>
          <w:szCs w:val="22"/>
        </w:rPr>
        <w:t>not an instrument of alienation</w:t>
      </w:r>
      <w:r w:rsidRPr="00C0539D">
        <w:rPr>
          <w:rFonts w:ascii="Century Gothic" w:hAnsi="Century Gothic" w:cs="Arial"/>
          <w:sz w:val="22"/>
          <w:szCs w:val="22"/>
        </w:rPr>
        <w:t xml:space="preserve">; therefore, it does </w:t>
      </w:r>
      <w:r w:rsidRPr="00C0539D">
        <w:rPr>
          <w:rFonts w:ascii="Century Gothic" w:hAnsi="Century Gothic" w:cs="Arial"/>
          <w:b/>
          <w:bCs/>
          <w:sz w:val="22"/>
          <w:szCs w:val="22"/>
        </w:rPr>
        <w:t>not require the Governor’s consent</w:t>
      </w:r>
      <w:r w:rsidRPr="00C0539D">
        <w:rPr>
          <w:rFonts w:ascii="Century Gothic" w:hAnsi="Century Gothic" w:cs="Arial"/>
          <w:sz w:val="22"/>
          <w:szCs w:val="22"/>
        </w:rPr>
        <w:t xml:space="preserve"> under the Land Use Act.</w:t>
      </w:r>
      <w:r w:rsidRPr="00C0539D">
        <w:rPr>
          <w:rFonts w:ascii="Century Gothic" w:hAnsi="Century Gothic" w:cs="Arial"/>
          <w:sz w:val="22"/>
          <w:szCs w:val="22"/>
        </w:rPr>
        <w:br/>
      </w:r>
      <w:r w:rsidRPr="00C0539D">
        <w:rPr>
          <w:rFonts w:ascii="Century Gothic" w:hAnsi="Century Gothic" w:cs="Arial"/>
          <w:i/>
          <w:iCs/>
          <w:sz w:val="22"/>
          <w:szCs w:val="22"/>
        </w:rPr>
        <w:t>See:</w:t>
      </w:r>
      <w:r w:rsidRPr="00C0539D">
        <w:rPr>
          <w:rFonts w:ascii="Century Gothic" w:hAnsi="Century Gothic" w:cs="Arial"/>
          <w:sz w:val="22"/>
          <w:szCs w:val="22"/>
        </w:rPr>
        <w:t xml:space="preserve"> </w:t>
      </w:r>
      <w:r w:rsidRPr="00C0539D">
        <w:rPr>
          <w:rFonts w:ascii="Century Gothic" w:hAnsi="Century Gothic" w:cs="Arial"/>
          <w:b/>
          <w:bCs/>
          <w:sz w:val="22"/>
          <w:szCs w:val="22"/>
        </w:rPr>
        <w:t>Ud</w:t>
      </w:r>
      <w:r w:rsidR="00135056">
        <w:rPr>
          <w:rFonts w:ascii="Century Gothic" w:hAnsi="Century Gothic" w:cs="Arial"/>
          <w:b/>
          <w:bCs/>
          <w:sz w:val="22"/>
          <w:szCs w:val="22"/>
        </w:rPr>
        <w:t xml:space="preserve">e v. </w:t>
      </w:r>
      <w:proofErr w:type="spellStart"/>
      <w:r w:rsidR="00135056">
        <w:rPr>
          <w:rFonts w:ascii="Century Gothic" w:hAnsi="Century Gothic" w:cs="Arial"/>
          <w:b/>
          <w:bCs/>
          <w:sz w:val="22"/>
          <w:szCs w:val="22"/>
        </w:rPr>
        <w:t>Nwara</w:t>
      </w:r>
      <w:proofErr w:type="spellEnd"/>
      <w:r w:rsidR="00135056">
        <w:rPr>
          <w:rStyle w:val="FootnoteReference"/>
          <w:rFonts w:ascii="Century Gothic" w:hAnsi="Century Gothic" w:cs="Arial"/>
          <w:b/>
          <w:bCs/>
          <w:sz w:val="22"/>
          <w:szCs w:val="22"/>
        </w:rPr>
        <w:footnoteReference w:id="7"/>
      </w:r>
      <w:r w:rsidRPr="00C0539D">
        <w:rPr>
          <w:rFonts w:ascii="Century Gothic" w:hAnsi="Century Gothic" w:cs="Arial"/>
          <w:sz w:val="22"/>
          <w:szCs w:val="22"/>
        </w:rPr>
        <w:t>.</w:t>
      </w:r>
    </w:p>
    <w:p w14:paraId="365A7397" w14:textId="0B8E0DA7" w:rsidR="00E91D3E" w:rsidRPr="00C0539D" w:rsidRDefault="00E91D3E" w:rsidP="0084281C">
      <w:pPr>
        <w:numPr>
          <w:ilvl w:val="0"/>
          <w:numId w:val="1"/>
        </w:numPr>
        <w:spacing w:line="360" w:lineRule="auto"/>
        <w:rPr>
          <w:rFonts w:ascii="Century Gothic" w:hAnsi="Century Gothic" w:cs="Arial"/>
          <w:sz w:val="22"/>
          <w:szCs w:val="22"/>
        </w:rPr>
      </w:pPr>
      <w:r w:rsidRPr="00C0539D">
        <w:rPr>
          <w:rFonts w:ascii="Century Gothic" w:hAnsi="Century Gothic" w:cs="Arial"/>
          <w:sz w:val="22"/>
          <w:szCs w:val="22"/>
        </w:rPr>
        <w:t xml:space="preserve">Where a POA concerns </w:t>
      </w:r>
      <w:r w:rsidRPr="00C0539D">
        <w:rPr>
          <w:rFonts w:ascii="Century Gothic" w:hAnsi="Century Gothic" w:cs="Arial"/>
          <w:b/>
          <w:bCs/>
          <w:sz w:val="22"/>
          <w:szCs w:val="22"/>
        </w:rPr>
        <w:t>family property</w:t>
      </w:r>
      <w:r w:rsidRPr="00C0539D">
        <w:rPr>
          <w:rFonts w:ascii="Century Gothic" w:hAnsi="Century Gothic" w:cs="Arial"/>
          <w:sz w:val="22"/>
          <w:szCs w:val="22"/>
        </w:rPr>
        <w:t xml:space="preserve">, it must be executed by the </w:t>
      </w:r>
      <w:r w:rsidRPr="00C0539D">
        <w:rPr>
          <w:rFonts w:ascii="Century Gothic" w:hAnsi="Century Gothic" w:cs="Arial"/>
          <w:b/>
          <w:bCs/>
          <w:sz w:val="22"/>
          <w:szCs w:val="22"/>
        </w:rPr>
        <w:t>head of the family</w:t>
      </w:r>
      <w:r w:rsidRPr="00C0539D">
        <w:rPr>
          <w:rFonts w:ascii="Century Gothic" w:hAnsi="Century Gothic" w:cs="Arial"/>
          <w:sz w:val="22"/>
          <w:szCs w:val="22"/>
        </w:rPr>
        <w:t xml:space="preserve"> (either solely or jointly with the concurrence of the principal members of the family).</w:t>
      </w:r>
      <w:r w:rsidR="0084281C" w:rsidRPr="00C0539D">
        <w:rPr>
          <w:rFonts w:ascii="Century Gothic" w:hAnsi="Century Gothic" w:cs="Arial"/>
          <w:sz w:val="22"/>
          <w:szCs w:val="22"/>
        </w:rPr>
        <w:t xml:space="preserve"> </w:t>
      </w:r>
      <w:r w:rsidRPr="00C0539D">
        <w:rPr>
          <w:rFonts w:ascii="Century Gothic" w:hAnsi="Century Gothic" w:cs="Arial"/>
          <w:sz w:val="22"/>
          <w:szCs w:val="22"/>
        </w:rPr>
        <w:t xml:space="preserve">Failure to comply renders the POA </w:t>
      </w:r>
      <w:r w:rsidRPr="00C0539D">
        <w:rPr>
          <w:rFonts w:ascii="Century Gothic" w:hAnsi="Century Gothic" w:cs="Arial"/>
          <w:b/>
          <w:bCs/>
          <w:sz w:val="22"/>
          <w:szCs w:val="22"/>
        </w:rPr>
        <w:t>void</w:t>
      </w:r>
      <w:r w:rsidRPr="00C0539D">
        <w:rPr>
          <w:rFonts w:ascii="Century Gothic" w:hAnsi="Century Gothic" w:cs="Arial"/>
          <w:sz w:val="22"/>
          <w:szCs w:val="22"/>
        </w:rPr>
        <w:t>.</w:t>
      </w:r>
      <w:r w:rsidRPr="00C0539D">
        <w:rPr>
          <w:rFonts w:ascii="Century Gothic" w:hAnsi="Century Gothic" w:cs="Arial"/>
          <w:sz w:val="22"/>
          <w:szCs w:val="22"/>
        </w:rPr>
        <w:br/>
      </w:r>
      <w:r w:rsidRPr="00C0539D">
        <w:rPr>
          <w:rFonts w:ascii="Century Gothic" w:hAnsi="Century Gothic" w:cs="Arial"/>
          <w:i/>
          <w:iCs/>
          <w:sz w:val="22"/>
          <w:szCs w:val="22"/>
        </w:rPr>
        <w:t>See:</w:t>
      </w:r>
      <w:r w:rsidRPr="00C0539D">
        <w:rPr>
          <w:rFonts w:ascii="Century Gothic" w:hAnsi="Century Gothic" w:cs="Arial"/>
          <w:sz w:val="22"/>
          <w:szCs w:val="22"/>
        </w:rPr>
        <w:t xml:space="preserve"> </w:t>
      </w:r>
      <w:proofErr w:type="spellStart"/>
      <w:r w:rsidRPr="00C0539D">
        <w:rPr>
          <w:rFonts w:ascii="Century Gothic" w:hAnsi="Century Gothic" w:cs="Arial"/>
          <w:b/>
          <w:bCs/>
          <w:sz w:val="22"/>
          <w:szCs w:val="22"/>
        </w:rPr>
        <w:t>Ajamogun</w:t>
      </w:r>
      <w:proofErr w:type="spellEnd"/>
      <w:r w:rsidRPr="00C0539D">
        <w:rPr>
          <w:rFonts w:ascii="Century Gothic" w:hAnsi="Century Gothic" w:cs="Arial"/>
          <w:b/>
          <w:bCs/>
          <w:sz w:val="22"/>
          <w:szCs w:val="22"/>
        </w:rPr>
        <w:t xml:space="preserve"> v. </w:t>
      </w:r>
      <w:proofErr w:type="spellStart"/>
      <w:r w:rsidRPr="00C0539D">
        <w:rPr>
          <w:rFonts w:ascii="Century Gothic" w:hAnsi="Century Gothic" w:cs="Arial"/>
          <w:b/>
          <w:bCs/>
          <w:sz w:val="22"/>
          <w:szCs w:val="22"/>
        </w:rPr>
        <w:t>Oshunrinde</w:t>
      </w:r>
      <w:proofErr w:type="spellEnd"/>
      <w:r w:rsidR="00135056">
        <w:rPr>
          <w:rStyle w:val="FootnoteReference"/>
          <w:rFonts w:ascii="Century Gothic" w:hAnsi="Century Gothic" w:cs="Arial"/>
          <w:b/>
          <w:bCs/>
          <w:sz w:val="22"/>
          <w:szCs w:val="22"/>
        </w:rPr>
        <w:footnoteReference w:id="8"/>
      </w:r>
    </w:p>
    <w:p w14:paraId="6A5CFD5B" w14:textId="479AE36B" w:rsidR="0053646A" w:rsidRPr="00C0539D" w:rsidRDefault="003E7F80" w:rsidP="003E7F80">
      <w:pPr>
        <w:spacing w:line="360" w:lineRule="auto"/>
        <w:rPr>
          <w:rFonts w:ascii="Century Gothic" w:hAnsi="Century Gothic" w:cs="Arial"/>
          <w:b/>
          <w:bCs/>
          <w:sz w:val="22"/>
          <w:szCs w:val="22"/>
        </w:rPr>
      </w:pPr>
      <w:r w:rsidRPr="00C0539D">
        <w:rPr>
          <w:rFonts w:ascii="Century Gothic" w:hAnsi="Century Gothic" w:cs="Arial"/>
          <w:b/>
          <w:bCs/>
          <w:sz w:val="22"/>
          <w:szCs w:val="22"/>
        </w:rPr>
        <w:t xml:space="preserve">CIRCUMSTANCES REQUIRING A POWER OF ATTORNEY </w:t>
      </w:r>
    </w:p>
    <w:p w14:paraId="0C707928" w14:textId="29AA8D24" w:rsidR="0053646A" w:rsidRPr="00C0539D" w:rsidRDefault="0053646A" w:rsidP="003E7F80">
      <w:pPr>
        <w:spacing w:line="360" w:lineRule="auto"/>
        <w:rPr>
          <w:rFonts w:ascii="Century Gothic" w:hAnsi="Century Gothic" w:cs="Arial"/>
          <w:sz w:val="22"/>
          <w:szCs w:val="22"/>
        </w:rPr>
      </w:pPr>
      <w:r w:rsidRPr="00C0539D">
        <w:rPr>
          <w:rFonts w:ascii="Century Gothic" w:hAnsi="Century Gothic" w:cs="Arial"/>
          <w:sz w:val="22"/>
          <w:szCs w:val="22"/>
        </w:rPr>
        <w:t xml:space="preserve">  The following are reasons and instances where </w:t>
      </w:r>
      <w:r w:rsidR="0084281C" w:rsidRPr="00C0539D">
        <w:rPr>
          <w:rFonts w:ascii="Century Gothic" w:hAnsi="Century Gothic" w:cs="Arial"/>
          <w:sz w:val="22"/>
          <w:szCs w:val="22"/>
        </w:rPr>
        <w:t xml:space="preserve">a </w:t>
      </w:r>
      <w:r w:rsidRPr="00C0539D">
        <w:rPr>
          <w:rFonts w:ascii="Century Gothic" w:hAnsi="Century Gothic" w:cs="Arial"/>
          <w:sz w:val="22"/>
          <w:szCs w:val="22"/>
        </w:rPr>
        <w:t xml:space="preserve">Power of Attorney is required: </w:t>
      </w:r>
    </w:p>
    <w:p w14:paraId="51E4B8FD" w14:textId="3321305E" w:rsidR="0053646A" w:rsidRPr="00C0539D" w:rsidRDefault="003E7F80" w:rsidP="003E7F80">
      <w:pPr>
        <w:spacing w:line="360" w:lineRule="auto"/>
        <w:rPr>
          <w:rFonts w:ascii="Century Gothic" w:hAnsi="Century Gothic" w:cs="Arial"/>
          <w:sz w:val="22"/>
          <w:szCs w:val="22"/>
        </w:rPr>
      </w:pPr>
      <w:r w:rsidRPr="00C0539D">
        <w:rPr>
          <w:rFonts w:ascii="Century Gothic" w:hAnsi="Century Gothic" w:cs="Arial"/>
          <w:sz w:val="22"/>
          <w:szCs w:val="22"/>
        </w:rPr>
        <w:t>1</w:t>
      </w:r>
      <w:r w:rsidR="0053646A" w:rsidRPr="00C0539D">
        <w:rPr>
          <w:rFonts w:ascii="Century Gothic" w:hAnsi="Century Gothic" w:cs="Arial"/>
          <w:sz w:val="22"/>
          <w:szCs w:val="22"/>
        </w:rPr>
        <w:t>. Where t</w:t>
      </w:r>
      <w:r w:rsidR="00E03978">
        <w:rPr>
          <w:rFonts w:ascii="Century Gothic" w:hAnsi="Century Gothic" w:cs="Arial"/>
          <w:sz w:val="22"/>
          <w:szCs w:val="22"/>
        </w:rPr>
        <w:t>he donor is physically unavailable</w:t>
      </w:r>
      <w:r w:rsidR="00135056">
        <w:rPr>
          <w:rFonts w:ascii="Century Gothic" w:hAnsi="Century Gothic" w:cs="Arial"/>
          <w:sz w:val="22"/>
          <w:szCs w:val="22"/>
        </w:rPr>
        <w:t xml:space="preserve">. </w:t>
      </w:r>
    </w:p>
    <w:p w14:paraId="4E99AA5C" w14:textId="1490AB1F" w:rsidR="0053646A" w:rsidRPr="00C0539D" w:rsidRDefault="0053646A" w:rsidP="003E7F80">
      <w:pPr>
        <w:spacing w:line="360" w:lineRule="auto"/>
        <w:rPr>
          <w:rFonts w:ascii="Century Gothic" w:hAnsi="Century Gothic" w:cs="Arial"/>
          <w:sz w:val="22"/>
          <w:szCs w:val="22"/>
        </w:rPr>
      </w:pPr>
      <w:r w:rsidRPr="00C0539D">
        <w:rPr>
          <w:rFonts w:ascii="Century Gothic" w:hAnsi="Century Gothic" w:cs="Arial"/>
          <w:sz w:val="22"/>
          <w:szCs w:val="22"/>
        </w:rPr>
        <w:t xml:space="preserve">2. Where an expert’s skills </w:t>
      </w:r>
      <w:r w:rsidR="0084281C" w:rsidRPr="00C0539D">
        <w:rPr>
          <w:rFonts w:ascii="Century Gothic" w:hAnsi="Century Gothic" w:cs="Arial"/>
          <w:sz w:val="22"/>
          <w:szCs w:val="22"/>
        </w:rPr>
        <w:t>are</w:t>
      </w:r>
      <w:r w:rsidRPr="00C0539D">
        <w:rPr>
          <w:rFonts w:ascii="Century Gothic" w:hAnsi="Century Gothic" w:cs="Arial"/>
          <w:sz w:val="22"/>
          <w:szCs w:val="22"/>
        </w:rPr>
        <w:t xml:space="preserve"> required. E.g., an estate surveyor or a solicitor.</w:t>
      </w:r>
    </w:p>
    <w:p w14:paraId="78296D33" w14:textId="78426879" w:rsidR="0053646A" w:rsidRPr="00C0539D" w:rsidRDefault="0053646A" w:rsidP="003E7F80">
      <w:pPr>
        <w:spacing w:line="360" w:lineRule="auto"/>
        <w:rPr>
          <w:rFonts w:ascii="Century Gothic" w:hAnsi="Century Gothic" w:cs="Arial"/>
          <w:sz w:val="22"/>
          <w:szCs w:val="22"/>
        </w:rPr>
      </w:pPr>
      <w:r w:rsidRPr="00C0539D">
        <w:rPr>
          <w:rFonts w:ascii="Century Gothic" w:hAnsi="Century Gothic" w:cs="Arial"/>
          <w:sz w:val="22"/>
          <w:szCs w:val="22"/>
        </w:rPr>
        <w:t>4. Where Donee is to execute other instruments</w:t>
      </w:r>
      <w:r w:rsidR="00135056">
        <w:rPr>
          <w:rFonts w:ascii="Century Gothic" w:hAnsi="Century Gothic" w:cs="Arial"/>
          <w:sz w:val="22"/>
          <w:szCs w:val="22"/>
        </w:rPr>
        <w:t xml:space="preserve"> </w:t>
      </w:r>
      <w:r w:rsidR="00135056">
        <w:rPr>
          <w:rStyle w:val="FootnoteReference"/>
          <w:rFonts w:ascii="Century Gothic" w:hAnsi="Century Gothic" w:cs="Arial"/>
          <w:sz w:val="22"/>
          <w:szCs w:val="22"/>
        </w:rPr>
        <w:footnoteReference w:id="9"/>
      </w:r>
      <w:r w:rsidR="00135056">
        <w:rPr>
          <w:rFonts w:ascii="Century Gothic" w:hAnsi="Century Gothic" w:cs="Arial"/>
          <w:sz w:val="22"/>
          <w:szCs w:val="22"/>
        </w:rPr>
        <w:t>.</w:t>
      </w:r>
    </w:p>
    <w:p w14:paraId="684F3F4D" w14:textId="77777777" w:rsidR="0053646A" w:rsidRPr="00C0539D" w:rsidRDefault="0053646A" w:rsidP="003E7F80">
      <w:pPr>
        <w:spacing w:line="360" w:lineRule="auto"/>
        <w:rPr>
          <w:rFonts w:ascii="Century Gothic" w:hAnsi="Century Gothic" w:cs="Arial"/>
          <w:sz w:val="22"/>
          <w:szCs w:val="22"/>
        </w:rPr>
      </w:pPr>
      <w:r w:rsidRPr="00C0539D">
        <w:rPr>
          <w:rFonts w:ascii="Century Gothic" w:hAnsi="Century Gothic" w:cs="Arial"/>
          <w:sz w:val="22"/>
          <w:szCs w:val="22"/>
        </w:rPr>
        <w:t>5. Where a mortgage is by sub-demise.</w:t>
      </w:r>
    </w:p>
    <w:p w14:paraId="433C5DE4" w14:textId="670B98A6" w:rsidR="0053646A" w:rsidRPr="00C0539D" w:rsidRDefault="0053646A" w:rsidP="003E7F80">
      <w:pPr>
        <w:spacing w:line="360" w:lineRule="auto"/>
        <w:rPr>
          <w:rFonts w:ascii="Century Gothic" w:hAnsi="Century Gothic" w:cs="Arial"/>
          <w:sz w:val="22"/>
          <w:szCs w:val="22"/>
        </w:rPr>
      </w:pPr>
      <w:r w:rsidRPr="00C0539D">
        <w:rPr>
          <w:rFonts w:ascii="Century Gothic" w:hAnsi="Century Gothic" w:cs="Arial"/>
          <w:sz w:val="22"/>
          <w:szCs w:val="22"/>
        </w:rPr>
        <w:lastRenderedPageBreak/>
        <w:t xml:space="preserve">6. To institute a case on </w:t>
      </w:r>
      <w:r w:rsidR="00E91D3E" w:rsidRPr="00C0539D">
        <w:rPr>
          <w:rFonts w:ascii="Century Gothic" w:hAnsi="Century Gothic" w:cs="Arial"/>
          <w:sz w:val="22"/>
          <w:szCs w:val="22"/>
        </w:rPr>
        <w:t>Donee's</w:t>
      </w:r>
      <w:r w:rsidRPr="00C0539D">
        <w:rPr>
          <w:rFonts w:ascii="Century Gothic" w:hAnsi="Century Gothic" w:cs="Arial"/>
          <w:sz w:val="22"/>
          <w:szCs w:val="22"/>
        </w:rPr>
        <w:t xml:space="preserve"> behalf except, the </w:t>
      </w:r>
      <w:r w:rsidR="00E03978" w:rsidRPr="00C0539D">
        <w:rPr>
          <w:rFonts w:ascii="Century Gothic" w:hAnsi="Century Gothic" w:cs="Arial"/>
          <w:sz w:val="22"/>
          <w:szCs w:val="22"/>
        </w:rPr>
        <w:t>defense</w:t>
      </w:r>
      <w:r w:rsidRPr="00C0539D">
        <w:rPr>
          <w:rFonts w:ascii="Century Gothic" w:hAnsi="Century Gothic" w:cs="Arial"/>
          <w:sz w:val="22"/>
          <w:szCs w:val="22"/>
        </w:rPr>
        <w:t xml:space="preserve"> in criminal cases</w:t>
      </w:r>
      <w:r w:rsidR="00135056">
        <w:rPr>
          <w:rStyle w:val="FootnoteReference"/>
          <w:rFonts w:ascii="Century Gothic" w:hAnsi="Century Gothic" w:cs="Arial"/>
          <w:sz w:val="22"/>
          <w:szCs w:val="22"/>
        </w:rPr>
        <w:footnoteReference w:id="10"/>
      </w:r>
      <w:r w:rsidR="00135056">
        <w:rPr>
          <w:rFonts w:ascii="Century Gothic" w:hAnsi="Century Gothic" w:cs="Arial"/>
          <w:sz w:val="22"/>
          <w:szCs w:val="22"/>
        </w:rPr>
        <w:t>.</w:t>
      </w:r>
    </w:p>
    <w:p w14:paraId="7DEAC366" w14:textId="77777777" w:rsidR="0053646A" w:rsidRPr="00C0539D" w:rsidRDefault="0053646A" w:rsidP="003E7F80">
      <w:pPr>
        <w:spacing w:line="360" w:lineRule="auto"/>
        <w:rPr>
          <w:rFonts w:ascii="Century Gothic" w:hAnsi="Century Gothic" w:cs="Arial"/>
          <w:sz w:val="22"/>
          <w:szCs w:val="22"/>
        </w:rPr>
      </w:pPr>
      <w:r w:rsidRPr="00C0539D">
        <w:rPr>
          <w:rFonts w:ascii="Century Gothic" w:hAnsi="Century Gothic" w:cs="Arial"/>
          <w:sz w:val="22"/>
          <w:szCs w:val="22"/>
        </w:rPr>
        <w:t xml:space="preserve">7. To collect rents and proceeds of sale from tenants/buyers. </w:t>
      </w:r>
    </w:p>
    <w:p w14:paraId="32571C83" w14:textId="77777777" w:rsidR="0053646A" w:rsidRPr="00C0539D" w:rsidRDefault="0053646A" w:rsidP="003E7F80">
      <w:pPr>
        <w:spacing w:line="360" w:lineRule="auto"/>
        <w:rPr>
          <w:rFonts w:ascii="Century Gothic" w:hAnsi="Century Gothic" w:cs="Arial"/>
          <w:sz w:val="22"/>
          <w:szCs w:val="22"/>
        </w:rPr>
      </w:pPr>
      <w:r w:rsidRPr="00C0539D">
        <w:rPr>
          <w:rFonts w:ascii="Century Gothic" w:hAnsi="Century Gothic" w:cs="Arial"/>
          <w:sz w:val="22"/>
          <w:szCs w:val="22"/>
        </w:rPr>
        <w:t>8. A Power of Attorney can be used for buying and selling land on behalf of the donor</w:t>
      </w:r>
    </w:p>
    <w:p w14:paraId="52ED9C30" w14:textId="77777777" w:rsidR="0053646A" w:rsidRPr="00C0539D" w:rsidRDefault="0053646A" w:rsidP="003E7F80">
      <w:pPr>
        <w:spacing w:line="360" w:lineRule="auto"/>
        <w:rPr>
          <w:rFonts w:ascii="Century Gothic" w:hAnsi="Century Gothic" w:cs="Arial"/>
          <w:sz w:val="22"/>
          <w:szCs w:val="22"/>
        </w:rPr>
      </w:pPr>
      <w:r w:rsidRPr="00C0539D">
        <w:rPr>
          <w:rFonts w:ascii="Century Gothic" w:hAnsi="Century Gothic" w:cs="Arial"/>
          <w:sz w:val="22"/>
          <w:szCs w:val="22"/>
        </w:rPr>
        <w:t>9. Where the donor suffers from Ill-health or physical disability (except mental disability). The donor must have capacity in law.</w:t>
      </w:r>
    </w:p>
    <w:p w14:paraId="008DCC09" w14:textId="15A47A8D" w:rsidR="0053646A" w:rsidRPr="00C0539D" w:rsidRDefault="00AF0C11" w:rsidP="003E7F80">
      <w:pPr>
        <w:spacing w:line="360" w:lineRule="auto"/>
        <w:rPr>
          <w:rFonts w:ascii="Century Gothic" w:hAnsi="Century Gothic" w:cs="Arial"/>
          <w:b/>
          <w:bCs/>
          <w:sz w:val="22"/>
          <w:szCs w:val="22"/>
          <w:u w:val="single"/>
        </w:rPr>
      </w:pPr>
      <w:r w:rsidRPr="00C0539D">
        <w:rPr>
          <w:rFonts w:ascii="Century Gothic" w:hAnsi="Century Gothic" w:cs="Arial"/>
          <w:b/>
          <w:bCs/>
          <w:sz w:val="22"/>
          <w:szCs w:val="22"/>
          <w:u w:val="single"/>
        </w:rPr>
        <w:t xml:space="preserve">TYPES OF POWER OF ATTORNEY  </w:t>
      </w:r>
    </w:p>
    <w:p w14:paraId="67F5649C" w14:textId="73EC9B72" w:rsidR="00AF0C11" w:rsidRPr="00C0539D" w:rsidRDefault="00E5414E" w:rsidP="003E7F80">
      <w:pPr>
        <w:spacing w:line="360" w:lineRule="auto"/>
        <w:rPr>
          <w:rFonts w:ascii="Century Gothic" w:hAnsi="Century Gothic" w:cs="Arial"/>
          <w:sz w:val="22"/>
          <w:szCs w:val="22"/>
        </w:rPr>
      </w:pPr>
      <w:r w:rsidRPr="00C0539D">
        <w:rPr>
          <w:rFonts w:ascii="Century Gothic" w:hAnsi="Century Gothic" w:cs="Arial"/>
          <w:sz w:val="22"/>
          <w:szCs w:val="22"/>
        </w:rPr>
        <w:t xml:space="preserve">There are 2 types of Power of Attorney; It could be General or Specific </w:t>
      </w:r>
    </w:p>
    <w:p w14:paraId="5CDE6618" w14:textId="773B8B8C" w:rsidR="00E5414E" w:rsidRPr="00C0539D" w:rsidRDefault="00E5414E" w:rsidP="003E7F80">
      <w:pPr>
        <w:pStyle w:val="ListParagraph"/>
        <w:numPr>
          <w:ilvl w:val="0"/>
          <w:numId w:val="3"/>
        </w:numPr>
        <w:spacing w:line="360" w:lineRule="auto"/>
        <w:rPr>
          <w:rFonts w:ascii="Century Gothic" w:hAnsi="Century Gothic" w:cs="Arial"/>
          <w:sz w:val="22"/>
          <w:szCs w:val="22"/>
        </w:rPr>
      </w:pPr>
      <w:r w:rsidRPr="00C0539D">
        <w:rPr>
          <w:rFonts w:ascii="Century Gothic" w:hAnsi="Century Gothic" w:cs="Arial"/>
          <w:sz w:val="22"/>
          <w:szCs w:val="22"/>
        </w:rPr>
        <w:t xml:space="preserve">General: </w:t>
      </w:r>
      <w:r w:rsidR="002E4A36" w:rsidRPr="00C0539D">
        <w:rPr>
          <w:rFonts w:ascii="Century Gothic" w:hAnsi="Century Gothic" w:cs="Arial"/>
          <w:sz w:val="22"/>
          <w:szCs w:val="22"/>
        </w:rPr>
        <w:t xml:space="preserve">Here, it is broadly worded to authorize the </w:t>
      </w:r>
      <w:proofErr w:type="spellStart"/>
      <w:r w:rsidR="002E4A36" w:rsidRPr="00C0539D">
        <w:rPr>
          <w:rFonts w:ascii="Century Gothic" w:hAnsi="Century Gothic" w:cs="Arial"/>
          <w:sz w:val="22"/>
          <w:szCs w:val="22"/>
        </w:rPr>
        <w:t>donee</w:t>
      </w:r>
      <w:proofErr w:type="spellEnd"/>
      <w:r w:rsidR="002E4A36" w:rsidRPr="00C0539D">
        <w:rPr>
          <w:rFonts w:ascii="Century Gothic" w:hAnsi="Century Gothic" w:cs="Arial"/>
          <w:sz w:val="22"/>
          <w:szCs w:val="22"/>
        </w:rPr>
        <w:t xml:space="preserve"> to act on all matters relating to the subject matter. Example</w:t>
      </w:r>
      <w:r w:rsidR="002E4A36" w:rsidRPr="00C0539D">
        <w:rPr>
          <w:rFonts w:ascii="Century Gothic" w:hAnsi="Century Gothic" w:cs="Arial"/>
          <w:i/>
          <w:iCs/>
          <w:sz w:val="22"/>
          <w:szCs w:val="22"/>
        </w:rPr>
        <w:t>:</w:t>
      </w:r>
      <w:r w:rsidR="002E4A36" w:rsidRPr="00C0539D">
        <w:rPr>
          <w:rFonts w:ascii="Century Gothic" w:hAnsi="Century Gothic" w:cs="Arial"/>
          <w:sz w:val="22"/>
          <w:szCs w:val="22"/>
        </w:rPr>
        <w:t xml:space="preserve"> “To do anything that the donor may lawfully do.”</w:t>
      </w:r>
    </w:p>
    <w:p w14:paraId="2F3C10CC" w14:textId="0F1DC5DC" w:rsidR="002E4A36" w:rsidRPr="00C0539D" w:rsidRDefault="002E4A36" w:rsidP="003E7F80">
      <w:pPr>
        <w:pStyle w:val="ListParagraph"/>
        <w:numPr>
          <w:ilvl w:val="0"/>
          <w:numId w:val="3"/>
        </w:numPr>
        <w:spacing w:line="360" w:lineRule="auto"/>
        <w:rPr>
          <w:rFonts w:ascii="Century Gothic" w:hAnsi="Century Gothic" w:cs="Arial"/>
          <w:sz w:val="22"/>
          <w:szCs w:val="22"/>
        </w:rPr>
      </w:pPr>
      <w:r w:rsidRPr="00C0539D">
        <w:rPr>
          <w:rFonts w:ascii="Century Gothic" w:hAnsi="Century Gothic" w:cs="Arial"/>
          <w:sz w:val="22"/>
          <w:szCs w:val="22"/>
        </w:rPr>
        <w:t xml:space="preserve">Specific: Here, it is limited to particular and clearly defined acts that the </w:t>
      </w:r>
      <w:proofErr w:type="spellStart"/>
      <w:r w:rsidRPr="00C0539D">
        <w:rPr>
          <w:rFonts w:ascii="Century Gothic" w:hAnsi="Century Gothic" w:cs="Arial"/>
          <w:sz w:val="22"/>
          <w:szCs w:val="22"/>
        </w:rPr>
        <w:t>donee</w:t>
      </w:r>
      <w:proofErr w:type="spellEnd"/>
      <w:r w:rsidRPr="00C0539D">
        <w:rPr>
          <w:rFonts w:ascii="Century Gothic" w:hAnsi="Century Gothic" w:cs="Arial"/>
          <w:sz w:val="22"/>
          <w:szCs w:val="22"/>
        </w:rPr>
        <w:t xml:space="preserve"> is authorized to perform.</w:t>
      </w:r>
    </w:p>
    <w:p w14:paraId="5AD92CA4" w14:textId="5BA63003" w:rsidR="0053646A" w:rsidRPr="00C0539D" w:rsidRDefault="003E7F80" w:rsidP="003E7F80">
      <w:pPr>
        <w:spacing w:line="360" w:lineRule="auto"/>
        <w:rPr>
          <w:rFonts w:ascii="Century Gothic" w:hAnsi="Century Gothic" w:cs="Arial"/>
          <w:b/>
          <w:bCs/>
          <w:sz w:val="22"/>
          <w:szCs w:val="22"/>
        </w:rPr>
      </w:pPr>
      <w:r w:rsidRPr="00C0539D">
        <w:rPr>
          <w:rFonts w:ascii="Century Gothic" w:hAnsi="Century Gothic" w:cs="Arial"/>
          <w:b/>
          <w:bCs/>
          <w:sz w:val="22"/>
          <w:szCs w:val="22"/>
        </w:rPr>
        <w:t>STAMPING</w:t>
      </w:r>
    </w:p>
    <w:p w14:paraId="58927255" w14:textId="4BD52C0A" w:rsidR="0053646A" w:rsidRPr="00C0539D" w:rsidRDefault="00E03978" w:rsidP="003E7F80">
      <w:pPr>
        <w:spacing w:line="360" w:lineRule="auto"/>
        <w:rPr>
          <w:rFonts w:ascii="Century Gothic" w:hAnsi="Century Gothic" w:cs="Arial"/>
          <w:sz w:val="22"/>
          <w:szCs w:val="22"/>
        </w:rPr>
      </w:pPr>
      <w:r>
        <w:rPr>
          <w:rFonts w:ascii="Century Gothic" w:hAnsi="Century Gothic" w:cs="Arial"/>
          <w:sz w:val="22"/>
          <w:szCs w:val="22"/>
        </w:rPr>
        <w:t xml:space="preserve">   Concerning</w:t>
      </w:r>
      <w:r w:rsidR="0053646A" w:rsidRPr="00C0539D">
        <w:rPr>
          <w:rFonts w:ascii="Century Gothic" w:hAnsi="Century Gothic" w:cs="Arial"/>
          <w:sz w:val="22"/>
          <w:szCs w:val="22"/>
        </w:rPr>
        <w:t xml:space="preserve"> stamping, a Power of Attorney attracts a fixed stamp duty. Generally, it attracts a fixed stamp duty of N50.00. However, In Lagos, it is N3.00. See for example, the Schedule to the Stamp Duties Law, Cap 181, Laws of Lagos State 1994.</w:t>
      </w:r>
    </w:p>
    <w:p w14:paraId="05391B9F" w14:textId="77777777" w:rsidR="0053646A" w:rsidRPr="00C0539D" w:rsidRDefault="0053646A" w:rsidP="003E7F80">
      <w:pPr>
        <w:spacing w:line="360" w:lineRule="auto"/>
        <w:rPr>
          <w:rFonts w:ascii="Century Gothic" w:hAnsi="Century Gothic" w:cs="Arial"/>
          <w:sz w:val="22"/>
          <w:szCs w:val="22"/>
        </w:rPr>
      </w:pPr>
      <w:r w:rsidRPr="00C0539D">
        <w:rPr>
          <w:rFonts w:ascii="Century Gothic" w:hAnsi="Century Gothic" w:cs="Arial"/>
          <w:sz w:val="22"/>
          <w:szCs w:val="22"/>
        </w:rPr>
        <w:t xml:space="preserve">Stamping precedes registration and both are essential where the power of attorney is to confer interest in land or landed property. </w:t>
      </w:r>
    </w:p>
    <w:p w14:paraId="7AE55616" w14:textId="5304967F" w:rsidR="0053646A" w:rsidRPr="00C0539D" w:rsidRDefault="003E7F80" w:rsidP="003E7F80">
      <w:pPr>
        <w:spacing w:line="360" w:lineRule="auto"/>
        <w:rPr>
          <w:rFonts w:ascii="Century Gothic" w:hAnsi="Century Gothic" w:cs="Arial"/>
          <w:b/>
          <w:bCs/>
          <w:sz w:val="22"/>
          <w:szCs w:val="22"/>
        </w:rPr>
      </w:pPr>
      <w:r w:rsidRPr="00C0539D">
        <w:rPr>
          <w:rFonts w:ascii="Century Gothic" w:hAnsi="Century Gothic" w:cs="Arial"/>
          <w:b/>
          <w:bCs/>
          <w:sz w:val="22"/>
          <w:szCs w:val="22"/>
        </w:rPr>
        <w:t>REGISTRATION</w:t>
      </w:r>
    </w:p>
    <w:p w14:paraId="4B247417" w14:textId="57D46892" w:rsidR="0053646A" w:rsidRPr="00AC38E7" w:rsidRDefault="0053646A" w:rsidP="003E7F80">
      <w:pPr>
        <w:spacing w:line="360" w:lineRule="auto"/>
        <w:rPr>
          <w:rFonts w:ascii="Century Gothic" w:hAnsi="Century Gothic" w:cs="Arial"/>
          <w:b/>
          <w:bCs/>
          <w:sz w:val="22"/>
          <w:szCs w:val="22"/>
        </w:rPr>
      </w:pPr>
      <w:r w:rsidRPr="00C0539D">
        <w:rPr>
          <w:rFonts w:ascii="Century Gothic" w:hAnsi="Century Gothic" w:cs="Arial"/>
          <w:sz w:val="22"/>
          <w:szCs w:val="22"/>
        </w:rPr>
        <w:t>Whether or not a power of attorney is registrable depends on whether it qualifies as a registrable instrument under the Land Instrument Registration Law applicable to the State where it is created</w:t>
      </w:r>
      <w:r w:rsidRPr="00C0539D">
        <w:rPr>
          <w:rFonts w:ascii="Century Gothic" w:hAnsi="Century Gothic" w:cs="Arial"/>
          <w:b/>
          <w:bCs/>
          <w:sz w:val="22"/>
          <w:szCs w:val="22"/>
        </w:rPr>
        <w:t>.</w:t>
      </w:r>
      <w:r w:rsidR="00AC38E7">
        <w:rPr>
          <w:rFonts w:ascii="Century Gothic" w:hAnsi="Century Gothic" w:cs="Arial"/>
          <w:b/>
          <w:bCs/>
          <w:sz w:val="22"/>
          <w:szCs w:val="22"/>
        </w:rPr>
        <w:t xml:space="preserve"> See</w:t>
      </w:r>
      <w:r w:rsidRPr="00C0539D">
        <w:rPr>
          <w:rFonts w:ascii="Century Gothic" w:hAnsi="Century Gothic" w:cs="Arial"/>
          <w:b/>
          <w:bCs/>
          <w:sz w:val="22"/>
          <w:szCs w:val="22"/>
        </w:rPr>
        <w:t xml:space="preserve"> </w:t>
      </w:r>
      <w:proofErr w:type="spellStart"/>
      <w:r w:rsidRPr="00C0539D">
        <w:rPr>
          <w:rFonts w:ascii="Century Gothic" w:hAnsi="Century Gothic" w:cs="Arial"/>
          <w:b/>
          <w:bCs/>
          <w:sz w:val="22"/>
          <w:szCs w:val="22"/>
        </w:rPr>
        <w:t>Uzoechi</w:t>
      </w:r>
      <w:proofErr w:type="spellEnd"/>
      <w:r w:rsidRPr="00C0539D">
        <w:rPr>
          <w:rFonts w:ascii="Century Gothic" w:hAnsi="Century Gothic" w:cs="Arial"/>
          <w:b/>
          <w:bCs/>
          <w:sz w:val="22"/>
          <w:szCs w:val="22"/>
        </w:rPr>
        <w:t xml:space="preserve"> v. </w:t>
      </w:r>
      <w:proofErr w:type="spellStart"/>
      <w:r w:rsidRPr="00C0539D">
        <w:rPr>
          <w:rFonts w:ascii="Century Gothic" w:hAnsi="Century Gothic" w:cs="Arial"/>
          <w:b/>
          <w:bCs/>
          <w:sz w:val="22"/>
          <w:szCs w:val="22"/>
        </w:rPr>
        <w:t>Alinor</w:t>
      </w:r>
      <w:proofErr w:type="spellEnd"/>
      <w:r w:rsidR="00AC38E7">
        <w:rPr>
          <w:rStyle w:val="FootnoteReference"/>
          <w:rFonts w:ascii="Century Gothic" w:hAnsi="Century Gothic" w:cs="Arial"/>
          <w:b/>
          <w:bCs/>
          <w:sz w:val="22"/>
          <w:szCs w:val="22"/>
        </w:rPr>
        <w:footnoteReference w:id="11"/>
      </w:r>
      <w:r w:rsidRPr="00C0539D">
        <w:rPr>
          <w:rFonts w:ascii="Century Gothic" w:hAnsi="Century Gothic" w:cs="Arial"/>
          <w:b/>
          <w:bCs/>
          <w:sz w:val="22"/>
          <w:szCs w:val="22"/>
        </w:rPr>
        <w:t>.</w:t>
      </w:r>
    </w:p>
    <w:p w14:paraId="4E8E5DCA" w14:textId="77777777" w:rsidR="00AC38E7" w:rsidRDefault="0053646A" w:rsidP="003E7F80">
      <w:pPr>
        <w:spacing w:line="360" w:lineRule="auto"/>
        <w:rPr>
          <w:rFonts w:ascii="Century Gothic" w:hAnsi="Century Gothic" w:cs="Arial"/>
          <w:b/>
          <w:sz w:val="22"/>
          <w:szCs w:val="22"/>
        </w:rPr>
      </w:pPr>
      <w:r w:rsidRPr="00C0539D">
        <w:rPr>
          <w:rFonts w:ascii="Century Gothic" w:hAnsi="Century Gothic" w:cs="Arial"/>
          <w:sz w:val="22"/>
          <w:szCs w:val="22"/>
        </w:rPr>
        <w:lastRenderedPageBreak/>
        <w:t xml:space="preserve">A POA is a registrable instrument under the Land Instruments Registration Law of various state. For example, in Lagos and Abuja, it is a registrable instrument. </w:t>
      </w:r>
      <w:r w:rsidRPr="00AC38E7">
        <w:rPr>
          <w:rFonts w:ascii="Century Gothic" w:hAnsi="Century Gothic" w:cs="Arial"/>
          <w:b/>
          <w:sz w:val="22"/>
          <w:szCs w:val="22"/>
        </w:rPr>
        <w:t>See S.56 of LRL of Lagos State.</w:t>
      </w:r>
    </w:p>
    <w:p w14:paraId="7D9648EB" w14:textId="0C0D3070" w:rsidR="007531FF" w:rsidRPr="00AC38E7" w:rsidRDefault="00AC38E7" w:rsidP="003E7F80">
      <w:pPr>
        <w:spacing w:line="360" w:lineRule="auto"/>
        <w:rPr>
          <w:rFonts w:ascii="Century Gothic" w:hAnsi="Century Gothic" w:cs="Arial"/>
          <w:b/>
          <w:sz w:val="22"/>
          <w:szCs w:val="22"/>
        </w:rPr>
      </w:pPr>
      <w:r w:rsidRPr="00AC38E7">
        <w:rPr>
          <w:rFonts w:ascii="Century Gothic" w:hAnsi="Century Gothic" w:cs="Arial"/>
          <w:sz w:val="22"/>
          <w:szCs w:val="22"/>
        </w:rPr>
        <w:t>It is</w:t>
      </w:r>
      <w:r>
        <w:rPr>
          <w:rFonts w:ascii="Century Gothic" w:hAnsi="Century Gothic" w:cs="Arial"/>
          <w:sz w:val="22"/>
          <w:szCs w:val="22"/>
        </w:rPr>
        <w:t xml:space="preserve"> essential to take note of</w:t>
      </w:r>
      <w:r>
        <w:rPr>
          <w:rFonts w:ascii="Century Gothic" w:hAnsi="Century Gothic" w:cs="Arial"/>
          <w:b/>
          <w:sz w:val="22"/>
          <w:szCs w:val="22"/>
        </w:rPr>
        <w:t xml:space="preserve"> </w:t>
      </w:r>
      <w:r w:rsidR="0053646A" w:rsidRPr="00C0539D">
        <w:rPr>
          <w:rFonts w:ascii="Century Gothic" w:hAnsi="Century Gothic" w:cs="Arial"/>
          <w:sz w:val="22"/>
          <w:szCs w:val="22"/>
        </w:rPr>
        <w:t xml:space="preserve">the implication of the decision in </w:t>
      </w:r>
      <w:r w:rsidR="0053646A" w:rsidRPr="00C0539D">
        <w:rPr>
          <w:rFonts w:ascii="Century Gothic" w:hAnsi="Century Gothic" w:cs="Arial"/>
          <w:b/>
          <w:bCs/>
          <w:sz w:val="22"/>
          <w:szCs w:val="22"/>
        </w:rPr>
        <w:t xml:space="preserve">Benjamin V </w:t>
      </w:r>
      <w:proofErr w:type="spellStart"/>
      <w:r w:rsidR="0053646A" w:rsidRPr="00C0539D">
        <w:rPr>
          <w:rFonts w:ascii="Century Gothic" w:hAnsi="Century Gothic" w:cs="Arial"/>
          <w:b/>
          <w:bCs/>
          <w:sz w:val="22"/>
          <w:szCs w:val="22"/>
        </w:rPr>
        <w:t>Kalio</w:t>
      </w:r>
      <w:proofErr w:type="spellEnd"/>
      <w:r>
        <w:rPr>
          <w:rStyle w:val="FootnoteReference"/>
          <w:rFonts w:ascii="Century Gothic" w:hAnsi="Century Gothic" w:cs="Arial"/>
          <w:b/>
          <w:bCs/>
          <w:sz w:val="22"/>
          <w:szCs w:val="22"/>
        </w:rPr>
        <w:footnoteReference w:id="12"/>
      </w:r>
      <w:r w:rsidR="0053646A" w:rsidRPr="00C0539D">
        <w:rPr>
          <w:rFonts w:ascii="Century Gothic" w:hAnsi="Century Gothic" w:cs="Arial"/>
          <w:sz w:val="22"/>
          <w:szCs w:val="22"/>
        </w:rPr>
        <w:t>. The position of the law that non-registration of an instrument renders it inadmissible in evidence like any other deed (</w:t>
      </w:r>
      <w:proofErr w:type="spellStart"/>
      <w:r w:rsidR="0053646A" w:rsidRPr="00C0539D">
        <w:rPr>
          <w:rFonts w:ascii="Century Gothic" w:hAnsi="Century Gothic" w:cs="Arial"/>
          <w:b/>
          <w:bCs/>
          <w:sz w:val="22"/>
          <w:szCs w:val="22"/>
        </w:rPr>
        <w:t>Ojugbele</w:t>
      </w:r>
      <w:proofErr w:type="spellEnd"/>
      <w:r w:rsidR="0053646A" w:rsidRPr="00C0539D">
        <w:rPr>
          <w:rFonts w:ascii="Century Gothic" w:hAnsi="Century Gothic" w:cs="Arial"/>
          <w:b/>
          <w:bCs/>
          <w:sz w:val="22"/>
          <w:szCs w:val="22"/>
        </w:rPr>
        <w:t xml:space="preserve"> v </w:t>
      </w:r>
      <w:proofErr w:type="spellStart"/>
      <w:r w:rsidR="0053646A" w:rsidRPr="00C0539D">
        <w:rPr>
          <w:rFonts w:ascii="Century Gothic" w:hAnsi="Century Gothic" w:cs="Arial"/>
          <w:b/>
          <w:bCs/>
          <w:sz w:val="22"/>
          <w:szCs w:val="22"/>
        </w:rPr>
        <w:t>Olasoji</w:t>
      </w:r>
      <w:proofErr w:type="spellEnd"/>
      <w:r w:rsidR="0053646A" w:rsidRPr="00C0539D">
        <w:rPr>
          <w:rFonts w:ascii="Century Gothic" w:hAnsi="Century Gothic" w:cs="Arial"/>
          <w:sz w:val="22"/>
          <w:szCs w:val="22"/>
        </w:rPr>
        <w:t xml:space="preserve">) has changed by virtue of the Supreme Court decision in </w:t>
      </w:r>
      <w:r>
        <w:rPr>
          <w:rFonts w:ascii="Century Gothic" w:hAnsi="Century Gothic" w:cs="Arial"/>
          <w:b/>
          <w:bCs/>
          <w:sz w:val="22"/>
          <w:szCs w:val="22"/>
        </w:rPr>
        <w:t xml:space="preserve">Benjamin v </w:t>
      </w:r>
      <w:proofErr w:type="spellStart"/>
      <w:r>
        <w:rPr>
          <w:rFonts w:ascii="Century Gothic" w:hAnsi="Century Gothic" w:cs="Arial"/>
          <w:b/>
          <w:bCs/>
          <w:sz w:val="22"/>
          <w:szCs w:val="22"/>
        </w:rPr>
        <w:t>Kalio</w:t>
      </w:r>
      <w:proofErr w:type="spellEnd"/>
      <w:r>
        <w:rPr>
          <w:rStyle w:val="FootnoteReference"/>
          <w:rFonts w:ascii="Century Gothic" w:hAnsi="Century Gothic" w:cs="Arial"/>
          <w:b/>
          <w:bCs/>
          <w:sz w:val="22"/>
          <w:szCs w:val="22"/>
        </w:rPr>
        <w:footnoteReference w:id="13"/>
      </w:r>
      <w:r w:rsidR="0053646A" w:rsidRPr="00C0539D">
        <w:rPr>
          <w:rFonts w:ascii="Century Gothic" w:hAnsi="Century Gothic" w:cs="Arial"/>
          <w:sz w:val="22"/>
          <w:szCs w:val="22"/>
        </w:rPr>
        <w:t>. Thus, non-registration does not ipso facto affect the admis</w:t>
      </w:r>
      <w:r>
        <w:rPr>
          <w:rFonts w:ascii="Century Gothic" w:hAnsi="Century Gothic" w:cs="Arial"/>
          <w:sz w:val="22"/>
          <w:szCs w:val="22"/>
        </w:rPr>
        <w:t xml:space="preserve">sibility of the document. </w:t>
      </w:r>
    </w:p>
    <w:p w14:paraId="39465F58" w14:textId="2413C1B8" w:rsidR="003509EC" w:rsidRPr="00C0539D" w:rsidRDefault="003509EC" w:rsidP="003E7F80">
      <w:pPr>
        <w:spacing w:line="360" w:lineRule="auto"/>
        <w:rPr>
          <w:rFonts w:ascii="Century Gothic" w:hAnsi="Century Gothic" w:cs="Arial"/>
          <w:b/>
          <w:bCs/>
          <w:sz w:val="22"/>
          <w:szCs w:val="22"/>
        </w:rPr>
      </w:pPr>
      <w:r w:rsidRPr="00C0539D">
        <w:rPr>
          <w:rFonts w:ascii="Century Gothic" w:hAnsi="Century Gothic" w:cs="Arial"/>
          <w:b/>
          <w:bCs/>
          <w:sz w:val="22"/>
          <w:szCs w:val="22"/>
        </w:rPr>
        <w:t>REVOCATION OF POWER OF ATTORNEY</w:t>
      </w:r>
    </w:p>
    <w:p w14:paraId="7B7880C7" w14:textId="152CEF0F" w:rsidR="003509EC" w:rsidRPr="00AC38E7" w:rsidRDefault="00AC38E7" w:rsidP="003E7F80">
      <w:pPr>
        <w:spacing w:line="360" w:lineRule="auto"/>
        <w:rPr>
          <w:rFonts w:ascii="Century Gothic" w:hAnsi="Century Gothic" w:cs="Arial"/>
          <w:bCs/>
          <w:sz w:val="22"/>
          <w:szCs w:val="22"/>
        </w:rPr>
      </w:pPr>
      <w:r>
        <w:rPr>
          <w:rFonts w:ascii="Century Gothic" w:hAnsi="Century Gothic" w:cs="Arial"/>
          <w:bCs/>
          <w:sz w:val="22"/>
          <w:szCs w:val="22"/>
        </w:rPr>
        <w:t xml:space="preserve">  </w:t>
      </w:r>
      <w:r w:rsidR="003509EC" w:rsidRPr="00AC38E7">
        <w:rPr>
          <w:rFonts w:ascii="Century Gothic" w:hAnsi="Century Gothic" w:cs="Arial"/>
          <w:bCs/>
          <w:sz w:val="22"/>
          <w:szCs w:val="22"/>
        </w:rPr>
        <w:t xml:space="preserve">A power of attorney may be revoked in three ways: </w:t>
      </w:r>
    </w:p>
    <w:p w14:paraId="24E3CAEF" w14:textId="3731019B" w:rsidR="003509EC" w:rsidRPr="00C0539D" w:rsidRDefault="00AC38E7" w:rsidP="003E7F80">
      <w:pPr>
        <w:spacing w:before="100" w:beforeAutospacing="1" w:after="100" w:afterAutospacing="1" w:line="360" w:lineRule="auto"/>
        <w:rPr>
          <w:rFonts w:ascii="Century Gothic" w:eastAsia="Times New Roman" w:hAnsi="Century Gothic" w:cs="Arial"/>
          <w:kern w:val="0"/>
          <w:sz w:val="22"/>
          <w:szCs w:val="22"/>
          <w14:ligatures w14:val="none"/>
        </w:rPr>
      </w:pPr>
      <w:r>
        <w:rPr>
          <w:rFonts w:ascii="Century Gothic" w:eastAsia="Times New Roman" w:hAnsi="Century Gothic" w:cs="Arial"/>
          <w:b/>
          <w:bCs/>
          <w:kern w:val="0"/>
          <w:sz w:val="22"/>
          <w:szCs w:val="22"/>
          <w14:ligatures w14:val="none"/>
        </w:rPr>
        <w:t xml:space="preserve">i). </w:t>
      </w:r>
      <w:r w:rsidR="003509EC" w:rsidRPr="00C0539D">
        <w:rPr>
          <w:rFonts w:ascii="Century Gothic" w:eastAsia="Times New Roman" w:hAnsi="Century Gothic" w:cs="Arial"/>
          <w:b/>
          <w:bCs/>
          <w:kern w:val="0"/>
          <w:sz w:val="22"/>
          <w:szCs w:val="22"/>
          <w14:ligatures w14:val="none"/>
        </w:rPr>
        <w:t>Express Revocation:</w:t>
      </w:r>
      <w:r w:rsidR="003509EC" w:rsidRPr="00C0539D">
        <w:rPr>
          <w:rFonts w:ascii="Century Gothic" w:eastAsia="Times New Roman" w:hAnsi="Century Gothic" w:cs="Arial"/>
          <w:kern w:val="0"/>
          <w:sz w:val="22"/>
          <w:szCs w:val="22"/>
          <w14:ligatures w14:val="none"/>
        </w:rPr>
        <w:br/>
        <w:t>This occurs when the revocation of the Power of Attorney is clearly communicated, typically in writing. The form that the revocation must take depends on how the original Power of Attorney was created.</w:t>
      </w:r>
    </w:p>
    <w:p w14:paraId="6522922D" w14:textId="44A7EDD6" w:rsidR="003509EC" w:rsidRPr="00C0539D" w:rsidRDefault="003509EC" w:rsidP="003E7F80">
      <w:pPr>
        <w:pStyle w:val="ListParagraph"/>
        <w:numPr>
          <w:ilvl w:val="0"/>
          <w:numId w:val="8"/>
        </w:numPr>
        <w:spacing w:before="100" w:beforeAutospacing="1" w:after="100" w:afterAutospacing="1" w:line="360" w:lineRule="auto"/>
        <w:rPr>
          <w:rFonts w:ascii="Century Gothic" w:eastAsia="Times New Roman" w:hAnsi="Century Gothic" w:cs="Arial"/>
          <w:kern w:val="0"/>
          <w:sz w:val="22"/>
          <w:szCs w:val="22"/>
          <w14:ligatures w14:val="none"/>
        </w:rPr>
      </w:pPr>
      <w:r w:rsidRPr="00C0539D">
        <w:rPr>
          <w:rFonts w:ascii="Century Gothic" w:eastAsia="Times New Roman" w:hAnsi="Century Gothic" w:cs="Arial"/>
          <w:kern w:val="0"/>
          <w:sz w:val="22"/>
          <w:szCs w:val="22"/>
          <w14:ligatures w14:val="none"/>
        </w:rPr>
        <w:t>If the POA was executed by deed, the revocation must also be effected by deed.</w:t>
      </w:r>
    </w:p>
    <w:p w14:paraId="7A4EB31E" w14:textId="073AFE6E" w:rsidR="003509EC" w:rsidRPr="00C0539D" w:rsidRDefault="003509EC" w:rsidP="003E7F80">
      <w:pPr>
        <w:pStyle w:val="ListParagraph"/>
        <w:numPr>
          <w:ilvl w:val="0"/>
          <w:numId w:val="8"/>
        </w:numPr>
        <w:spacing w:before="100" w:beforeAutospacing="1" w:after="100" w:afterAutospacing="1" w:line="360" w:lineRule="auto"/>
        <w:rPr>
          <w:rFonts w:ascii="Century Gothic" w:eastAsia="Times New Roman" w:hAnsi="Century Gothic" w:cs="Arial"/>
          <w:kern w:val="0"/>
          <w:sz w:val="22"/>
          <w:szCs w:val="22"/>
          <w14:ligatures w14:val="none"/>
        </w:rPr>
      </w:pPr>
      <w:r w:rsidRPr="00C0539D">
        <w:rPr>
          <w:rFonts w:ascii="Century Gothic" w:eastAsia="Times New Roman" w:hAnsi="Century Gothic" w:cs="Arial"/>
          <w:kern w:val="0"/>
          <w:sz w:val="22"/>
          <w:szCs w:val="22"/>
          <w14:ligatures w14:val="none"/>
        </w:rPr>
        <w:t>If the POA was granted orally, it may be revoked orally.</w:t>
      </w:r>
    </w:p>
    <w:p w14:paraId="2D23CE5C" w14:textId="070D4098" w:rsidR="0019097D" w:rsidRPr="00C0539D" w:rsidRDefault="0019097D" w:rsidP="003E7F80">
      <w:pPr>
        <w:spacing w:before="100" w:beforeAutospacing="1" w:after="100" w:afterAutospacing="1" w:line="360" w:lineRule="auto"/>
        <w:rPr>
          <w:rFonts w:ascii="Century Gothic" w:eastAsia="Times New Roman" w:hAnsi="Century Gothic" w:cs="Arial"/>
          <w:kern w:val="0"/>
          <w:sz w:val="22"/>
          <w:szCs w:val="22"/>
          <w14:ligatures w14:val="none"/>
        </w:rPr>
      </w:pPr>
      <w:r w:rsidRPr="00C0539D">
        <w:rPr>
          <w:rFonts w:ascii="Century Gothic" w:eastAsia="Times New Roman" w:hAnsi="Century Gothic" w:cs="Arial"/>
          <w:kern w:val="0"/>
          <w:sz w:val="22"/>
          <w:szCs w:val="22"/>
          <w14:ligatures w14:val="none"/>
        </w:rPr>
        <w:t xml:space="preserve">Where there is an express revocation, the attorney’s authority </w:t>
      </w:r>
      <w:r w:rsidRPr="00AC38E7">
        <w:rPr>
          <w:rFonts w:ascii="Century Gothic" w:eastAsia="Times New Roman" w:hAnsi="Century Gothic" w:cs="Arial"/>
          <w:bCs/>
          <w:kern w:val="0"/>
          <w:sz w:val="22"/>
          <w:szCs w:val="22"/>
          <w14:ligatures w14:val="none"/>
        </w:rPr>
        <w:t>continues</w:t>
      </w:r>
      <w:r w:rsidRPr="00AC38E7">
        <w:rPr>
          <w:rFonts w:ascii="Century Gothic" w:eastAsia="Times New Roman" w:hAnsi="Century Gothic" w:cs="Arial"/>
          <w:kern w:val="0"/>
          <w:sz w:val="22"/>
          <w:szCs w:val="22"/>
          <w14:ligatures w14:val="none"/>
        </w:rPr>
        <w:t xml:space="preserve"> </w:t>
      </w:r>
      <w:r w:rsidRPr="00C0539D">
        <w:rPr>
          <w:rFonts w:ascii="Century Gothic" w:eastAsia="Times New Roman" w:hAnsi="Century Gothic" w:cs="Arial"/>
          <w:kern w:val="0"/>
          <w:sz w:val="22"/>
          <w:szCs w:val="22"/>
          <w14:ligatures w14:val="none"/>
        </w:rPr>
        <w:t xml:space="preserve">until he </w:t>
      </w:r>
      <w:r w:rsidRPr="00AC38E7">
        <w:rPr>
          <w:rFonts w:ascii="Century Gothic" w:eastAsia="Times New Roman" w:hAnsi="Century Gothic" w:cs="Arial"/>
          <w:bCs/>
          <w:kern w:val="0"/>
          <w:sz w:val="22"/>
          <w:szCs w:val="22"/>
          <w14:ligatures w14:val="none"/>
        </w:rPr>
        <w:t>receives notice of the revocation</w:t>
      </w:r>
      <w:r w:rsidRPr="00C0539D">
        <w:rPr>
          <w:rFonts w:ascii="Century Gothic" w:eastAsia="Times New Roman" w:hAnsi="Century Gothic" w:cs="Arial"/>
          <w:kern w:val="0"/>
          <w:sz w:val="22"/>
          <w:szCs w:val="22"/>
          <w14:ligatures w14:val="none"/>
        </w:rPr>
        <w:t>.</w:t>
      </w:r>
      <w:r w:rsidRPr="00C0539D">
        <w:rPr>
          <w:rFonts w:ascii="Century Gothic" w:eastAsia="Times New Roman" w:hAnsi="Century Gothic" w:cs="Arial"/>
          <w:kern w:val="0"/>
          <w:sz w:val="22"/>
          <w:szCs w:val="22"/>
          <w14:ligatures w14:val="none"/>
        </w:rPr>
        <w:br/>
        <w:t>Accordingly, until such notice is communicated to him, any actions taken by the attorney under the authority of the Power of Attorney remain valid, and he incurs no liability to the donor or to third parties.</w:t>
      </w:r>
    </w:p>
    <w:p w14:paraId="0FE6CF1F" w14:textId="60649BBD" w:rsidR="0019097D" w:rsidRPr="00C0539D" w:rsidRDefault="00AC38E7" w:rsidP="003E7F80">
      <w:pPr>
        <w:spacing w:before="100" w:beforeAutospacing="1" w:after="100" w:afterAutospacing="1" w:line="360" w:lineRule="auto"/>
        <w:rPr>
          <w:rFonts w:ascii="Century Gothic" w:eastAsia="Times New Roman" w:hAnsi="Century Gothic" w:cs="Arial"/>
          <w:kern w:val="0"/>
          <w:sz w:val="22"/>
          <w:szCs w:val="22"/>
          <w14:ligatures w14:val="none"/>
        </w:rPr>
      </w:pPr>
      <w:r>
        <w:rPr>
          <w:rFonts w:ascii="Century Gothic" w:eastAsia="Times New Roman" w:hAnsi="Century Gothic" w:cs="Arial"/>
          <w:b/>
          <w:bCs/>
          <w:kern w:val="0"/>
          <w:sz w:val="22"/>
          <w:szCs w:val="22"/>
          <w14:ligatures w14:val="none"/>
        </w:rPr>
        <w:t xml:space="preserve">ii). </w:t>
      </w:r>
      <w:r w:rsidR="0019097D" w:rsidRPr="00C0539D">
        <w:rPr>
          <w:rFonts w:ascii="Century Gothic" w:eastAsia="Times New Roman" w:hAnsi="Century Gothic" w:cs="Arial"/>
          <w:b/>
          <w:bCs/>
          <w:kern w:val="0"/>
          <w:sz w:val="22"/>
          <w:szCs w:val="22"/>
          <w14:ligatures w14:val="none"/>
        </w:rPr>
        <w:t>Implied Revocation:</w:t>
      </w:r>
      <w:r w:rsidR="0019097D" w:rsidRPr="00C0539D">
        <w:rPr>
          <w:rFonts w:ascii="Century Gothic" w:eastAsia="Times New Roman" w:hAnsi="Century Gothic" w:cs="Arial"/>
          <w:kern w:val="0"/>
          <w:sz w:val="22"/>
          <w:szCs w:val="22"/>
          <w14:ligatures w14:val="none"/>
        </w:rPr>
        <w:br/>
        <w:t xml:space="preserve"> It occurs where the donor, after granting a Power of Attorney to a </w:t>
      </w:r>
      <w:proofErr w:type="spellStart"/>
      <w:r w:rsidR="0019097D" w:rsidRPr="00C0539D">
        <w:rPr>
          <w:rFonts w:ascii="Century Gothic" w:eastAsia="Times New Roman" w:hAnsi="Century Gothic" w:cs="Arial"/>
          <w:kern w:val="0"/>
          <w:sz w:val="22"/>
          <w:szCs w:val="22"/>
          <w14:ligatures w14:val="none"/>
        </w:rPr>
        <w:t>donee</w:t>
      </w:r>
      <w:proofErr w:type="spellEnd"/>
      <w:r w:rsidR="0019097D" w:rsidRPr="00C0539D">
        <w:rPr>
          <w:rFonts w:ascii="Century Gothic" w:eastAsia="Times New Roman" w:hAnsi="Century Gothic" w:cs="Arial"/>
          <w:kern w:val="0"/>
          <w:sz w:val="22"/>
          <w:szCs w:val="22"/>
          <w14:ligatures w14:val="none"/>
        </w:rPr>
        <w:t xml:space="preserve">, subsequently deals with the subject matter in a manner that makes it impossible for the </w:t>
      </w:r>
      <w:proofErr w:type="spellStart"/>
      <w:r w:rsidR="0019097D" w:rsidRPr="00C0539D">
        <w:rPr>
          <w:rFonts w:ascii="Century Gothic" w:eastAsia="Times New Roman" w:hAnsi="Century Gothic" w:cs="Arial"/>
          <w:kern w:val="0"/>
          <w:sz w:val="22"/>
          <w:szCs w:val="22"/>
          <w14:ligatures w14:val="none"/>
        </w:rPr>
        <w:t>donee</w:t>
      </w:r>
      <w:proofErr w:type="spellEnd"/>
      <w:r w:rsidR="0019097D" w:rsidRPr="00C0539D">
        <w:rPr>
          <w:rFonts w:ascii="Century Gothic" w:eastAsia="Times New Roman" w:hAnsi="Century Gothic" w:cs="Arial"/>
          <w:kern w:val="0"/>
          <w:sz w:val="22"/>
          <w:szCs w:val="22"/>
          <w14:ligatures w14:val="none"/>
        </w:rPr>
        <w:t xml:space="preserve"> to exercise the authority conferred under the POA.</w:t>
      </w:r>
      <w:r w:rsidR="0019097D" w:rsidRPr="00C0539D">
        <w:rPr>
          <w:rFonts w:ascii="Century Gothic" w:eastAsia="Times New Roman" w:hAnsi="Century Gothic" w:cs="Arial"/>
          <w:kern w:val="0"/>
          <w:sz w:val="22"/>
          <w:szCs w:val="22"/>
          <w14:ligatures w14:val="none"/>
        </w:rPr>
        <w:br/>
      </w:r>
      <w:r w:rsidR="0019097D" w:rsidRPr="00C0539D">
        <w:rPr>
          <w:rFonts w:ascii="Century Gothic" w:eastAsia="Times New Roman" w:hAnsi="Century Gothic" w:cs="Arial"/>
          <w:kern w:val="0"/>
          <w:sz w:val="22"/>
          <w:szCs w:val="22"/>
          <w14:ligatures w14:val="none"/>
        </w:rPr>
        <w:lastRenderedPageBreak/>
        <w:t>The mere grant of a Power of Attorney does not extinguish the donor’s right to perform the same acts authorized under the POA or otherwise deal with their property as they wish.</w:t>
      </w:r>
      <w:r w:rsidR="0019097D" w:rsidRPr="00C0539D">
        <w:rPr>
          <w:rFonts w:ascii="Century Gothic" w:eastAsia="Times New Roman" w:hAnsi="Century Gothic" w:cs="Arial"/>
          <w:kern w:val="0"/>
          <w:sz w:val="22"/>
          <w:szCs w:val="22"/>
          <w14:ligatures w14:val="none"/>
        </w:rPr>
        <w:br/>
        <w:t>For example, if a landowner grants a Power of Attorney authorizing an agent to sell a piece of land but later sells the land himself before the agent acts, it is implied that the Power of Attorney has been revoked.</w:t>
      </w:r>
    </w:p>
    <w:p w14:paraId="24A48166" w14:textId="4BB0302C" w:rsidR="0019097D" w:rsidRPr="00C0539D" w:rsidRDefault="00AC38E7" w:rsidP="003E7F80">
      <w:pPr>
        <w:spacing w:before="100" w:beforeAutospacing="1" w:after="100" w:afterAutospacing="1" w:line="360" w:lineRule="auto"/>
        <w:rPr>
          <w:rFonts w:ascii="Century Gothic" w:eastAsia="Times New Roman" w:hAnsi="Century Gothic" w:cs="Arial"/>
          <w:kern w:val="0"/>
          <w:sz w:val="22"/>
          <w:szCs w:val="22"/>
          <w14:ligatures w14:val="none"/>
        </w:rPr>
      </w:pPr>
      <w:r>
        <w:rPr>
          <w:rFonts w:ascii="Century Gothic" w:eastAsia="Times New Roman" w:hAnsi="Century Gothic" w:cs="Arial"/>
          <w:b/>
          <w:bCs/>
          <w:kern w:val="0"/>
          <w:sz w:val="22"/>
          <w:szCs w:val="22"/>
          <w14:ligatures w14:val="none"/>
        </w:rPr>
        <w:t xml:space="preserve">iii). </w:t>
      </w:r>
      <w:r w:rsidR="0019097D" w:rsidRPr="00C0539D">
        <w:rPr>
          <w:rFonts w:ascii="Century Gothic" w:eastAsia="Times New Roman" w:hAnsi="Century Gothic" w:cs="Arial"/>
          <w:b/>
          <w:bCs/>
          <w:kern w:val="0"/>
          <w:sz w:val="22"/>
          <w:szCs w:val="22"/>
          <w14:ligatures w14:val="none"/>
        </w:rPr>
        <w:t>Revocation by Operation of Law:</w:t>
      </w:r>
      <w:r w:rsidR="0019097D" w:rsidRPr="00C0539D">
        <w:rPr>
          <w:rFonts w:ascii="Century Gothic" w:eastAsia="Times New Roman" w:hAnsi="Century Gothic" w:cs="Arial"/>
          <w:kern w:val="0"/>
          <w:sz w:val="22"/>
          <w:szCs w:val="22"/>
          <w14:ligatures w14:val="none"/>
        </w:rPr>
        <w:br/>
        <w:t>Revocation by operation of law occurs when certain events, as provided by law, automatically terminate a Power of Attorney. If the donor (or principal) dies, becomes insane, bankrupt, or suffers any other form of legal incapacity while the Power of Attorney is still in effect, the Power of Attorney is thereby revoked without the need for any further act.</w:t>
      </w:r>
    </w:p>
    <w:p w14:paraId="3AB817E2" w14:textId="08D473D8" w:rsidR="00E5414E" w:rsidRPr="00C0539D" w:rsidRDefault="00E5414E" w:rsidP="003E7F80">
      <w:pPr>
        <w:spacing w:line="360" w:lineRule="auto"/>
        <w:rPr>
          <w:rFonts w:ascii="Century Gothic" w:hAnsi="Century Gothic" w:cs="Arial"/>
          <w:b/>
          <w:bCs/>
          <w:sz w:val="22"/>
          <w:szCs w:val="22"/>
        </w:rPr>
      </w:pPr>
      <w:r w:rsidRPr="00C0539D">
        <w:rPr>
          <w:rFonts w:ascii="Century Gothic" w:hAnsi="Century Gothic" w:cs="Arial"/>
          <w:b/>
          <w:bCs/>
          <w:sz w:val="22"/>
          <w:szCs w:val="22"/>
        </w:rPr>
        <w:t>CONCLUSION</w:t>
      </w:r>
    </w:p>
    <w:p w14:paraId="02D9E5BC" w14:textId="5BD29A66" w:rsidR="00E5414E" w:rsidRPr="00C0539D" w:rsidRDefault="00AC38E7" w:rsidP="003E7F80">
      <w:pPr>
        <w:spacing w:line="360" w:lineRule="auto"/>
        <w:rPr>
          <w:rFonts w:ascii="Century Gothic" w:hAnsi="Century Gothic" w:cs="Arial"/>
          <w:sz w:val="22"/>
          <w:szCs w:val="22"/>
        </w:rPr>
      </w:pPr>
      <w:r>
        <w:rPr>
          <w:rFonts w:ascii="Century Gothic" w:hAnsi="Century Gothic" w:cs="Arial"/>
          <w:sz w:val="22"/>
          <w:szCs w:val="22"/>
        </w:rPr>
        <w:t xml:space="preserve">   </w:t>
      </w:r>
      <w:r w:rsidR="00E5414E" w:rsidRPr="00C0539D">
        <w:rPr>
          <w:rFonts w:ascii="Century Gothic" w:hAnsi="Century Gothic" w:cs="Arial"/>
          <w:sz w:val="22"/>
          <w:szCs w:val="22"/>
        </w:rPr>
        <w:t>In conclusion, a power of attorney can be a useful tool for individuals who need to delegate their authority to another person, whether it is for a short period of time or an extended time period. However, it is important to understand the consequences of granting a power of attorney and to carefully consider who to grant it to. By following the proper steps and executing the document correctly, a power of attorney can provide peace of mind and help ensure that the principal's affairs are handled in accordance with their wishes</w:t>
      </w:r>
      <w:r w:rsidR="003B4ACD" w:rsidRPr="00C0539D">
        <w:rPr>
          <w:rFonts w:ascii="Century Gothic" w:hAnsi="Century Gothic" w:cs="Arial"/>
          <w:sz w:val="22"/>
          <w:szCs w:val="22"/>
        </w:rPr>
        <w:t xml:space="preserve">. </w:t>
      </w:r>
    </w:p>
    <w:p w14:paraId="1E8E43B0" w14:textId="77777777" w:rsidR="00AC38E7" w:rsidRDefault="00AC38E7" w:rsidP="003E7F80">
      <w:pPr>
        <w:spacing w:line="360" w:lineRule="auto"/>
        <w:rPr>
          <w:rFonts w:ascii="Century Gothic" w:hAnsi="Century Gothic" w:cs="Arial"/>
          <w:b/>
          <w:bCs/>
          <w:sz w:val="22"/>
          <w:szCs w:val="22"/>
        </w:rPr>
      </w:pPr>
    </w:p>
    <w:p w14:paraId="4BB6C33A" w14:textId="77777777" w:rsidR="00AC38E7" w:rsidRDefault="00AC38E7" w:rsidP="003E7F80">
      <w:pPr>
        <w:spacing w:line="360" w:lineRule="auto"/>
        <w:rPr>
          <w:rFonts w:ascii="Century Gothic" w:hAnsi="Century Gothic" w:cs="Arial"/>
          <w:b/>
          <w:bCs/>
          <w:sz w:val="22"/>
          <w:szCs w:val="22"/>
        </w:rPr>
      </w:pPr>
    </w:p>
    <w:p w14:paraId="00068F91" w14:textId="77777777" w:rsidR="00AC38E7" w:rsidRDefault="00AC38E7" w:rsidP="003E7F80">
      <w:pPr>
        <w:spacing w:line="360" w:lineRule="auto"/>
        <w:rPr>
          <w:rFonts w:ascii="Century Gothic" w:hAnsi="Century Gothic" w:cs="Arial"/>
          <w:b/>
          <w:bCs/>
          <w:sz w:val="22"/>
          <w:szCs w:val="22"/>
        </w:rPr>
      </w:pPr>
    </w:p>
    <w:p w14:paraId="1D8E4A47" w14:textId="77777777" w:rsidR="00AC38E7" w:rsidRDefault="00AC38E7" w:rsidP="003E7F80">
      <w:pPr>
        <w:spacing w:line="360" w:lineRule="auto"/>
        <w:rPr>
          <w:rFonts w:ascii="Century Gothic" w:hAnsi="Century Gothic" w:cs="Arial"/>
          <w:b/>
          <w:bCs/>
          <w:sz w:val="22"/>
          <w:szCs w:val="22"/>
        </w:rPr>
      </w:pPr>
    </w:p>
    <w:p w14:paraId="654EA237" w14:textId="77777777" w:rsidR="00AC38E7" w:rsidRDefault="00AC38E7" w:rsidP="003E7F80">
      <w:pPr>
        <w:spacing w:line="360" w:lineRule="auto"/>
        <w:rPr>
          <w:rFonts w:ascii="Century Gothic" w:hAnsi="Century Gothic" w:cs="Arial"/>
          <w:b/>
          <w:bCs/>
          <w:sz w:val="22"/>
          <w:szCs w:val="22"/>
        </w:rPr>
      </w:pPr>
    </w:p>
    <w:p w14:paraId="0A884C1A" w14:textId="77777777" w:rsidR="00AC38E7" w:rsidRDefault="00AC38E7" w:rsidP="003E7F80">
      <w:pPr>
        <w:spacing w:line="360" w:lineRule="auto"/>
        <w:rPr>
          <w:rFonts w:ascii="Century Gothic" w:hAnsi="Century Gothic" w:cs="Arial"/>
          <w:b/>
          <w:bCs/>
          <w:sz w:val="22"/>
          <w:szCs w:val="22"/>
        </w:rPr>
      </w:pPr>
    </w:p>
    <w:p w14:paraId="3EDC0785" w14:textId="77777777" w:rsidR="00AC38E7" w:rsidRDefault="00AC38E7" w:rsidP="003E7F80">
      <w:pPr>
        <w:spacing w:line="360" w:lineRule="auto"/>
        <w:rPr>
          <w:rFonts w:ascii="Century Gothic" w:hAnsi="Century Gothic" w:cs="Arial"/>
          <w:b/>
          <w:bCs/>
          <w:sz w:val="22"/>
          <w:szCs w:val="22"/>
        </w:rPr>
      </w:pPr>
    </w:p>
    <w:p w14:paraId="2A611AB6" w14:textId="4ECF67A5" w:rsidR="003B4ACD" w:rsidRPr="00C0539D" w:rsidRDefault="005301F4" w:rsidP="003E7F80">
      <w:pPr>
        <w:spacing w:line="360" w:lineRule="auto"/>
        <w:rPr>
          <w:rFonts w:ascii="Century Gothic" w:hAnsi="Century Gothic" w:cs="Arial"/>
          <w:b/>
          <w:bCs/>
          <w:sz w:val="22"/>
          <w:szCs w:val="22"/>
        </w:rPr>
      </w:pPr>
      <w:r>
        <w:rPr>
          <w:rFonts w:ascii="Century Gothic" w:hAnsi="Century Gothic" w:cs="Arial"/>
          <w:b/>
          <w:bCs/>
          <w:sz w:val="22"/>
          <w:szCs w:val="22"/>
        </w:rPr>
        <w:lastRenderedPageBreak/>
        <w:t xml:space="preserve">                                                            </w:t>
      </w:r>
      <w:bookmarkStart w:id="0" w:name="_GoBack"/>
      <w:bookmarkEnd w:id="0"/>
      <w:r w:rsidR="003B4ACD" w:rsidRPr="00C0539D">
        <w:rPr>
          <w:rFonts w:ascii="Century Gothic" w:hAnsi="Century Gothic" w:cs="Arial"/>
          <w:b/>
          <w:bCs/>
          <w:sz w:val="22"/>
          <w:szCs w:val="22"/>
        </w:rPr>
        <w:t xml:space="preserve">REFERENCES </w:t>
      </w:r>
    </w:p>
    <w:p w14:paraId="284C6D50" w14:textId="1BB4F41D" w:rsidR="00D273D4" w:rsidRDefault="00D273D4" w:rsidP="003E7F80">
      <w:pPr>
        <w:spacing w:line="360" w:lineRule="auto"/>
        <w:rPr>
          <w:rFonts w:ascii="Century Gothic" w:hAnsi="Century Gothic"/>
          <w:sz w:val="22"/>
          <w:szCs w:val="22"/>
        </w:rPr>
      </w:pPr>
      <w:r>
        <w:rPr>
          <w:rFonts w:ascii="Century Gothic" w:hAnsi="Century Gothic"/>
          <w:sz w:val="22"/>
          <w:szCs w:val="22"/>
        </w:rPr>
        <w:t xml:space="preserve">Law </w:t>
      </w:r>
      <w:proofErr w:type="spellStart"/>
      <w:r>
        <w:rPr>
          <w:rFonts w:ascii="Century Gothic" w:hAnsi="Century Gothic"/>
          <w:sz w:val="22"/>
          <w:szCs w:val="22"/>
        </w:rPr>
        <w:t>Pavillion</w:t>
      </w:r>
      <w:proofErr w:type="spellEnd"/>
      <w:r>
        <w:rPr>
          <w:rFonts w:ascii="Century Gothic" w:hAnsi="Century Gothic"/>
          <w:sz w:val="22"/>
          <w:szCs w:val="22"/>
        </w:rPr>
        <w:t xml:space="preserve"> Blog, “Power of Attorney in Nigeria: The Law, the Power and the Practice”</w:t>
      </w:r>
    </w:p>
    <w:p w14:paraId="09309FFA" w14:textId="77777777" w:rsidR="00D273D4" w:rsidRDefault="00D273D4" w:rsidP="003E7F80">
      <w:pPr>
        <w:spacing w:line="360" w:lineRule="auto"/>
        <w:rPr>
          <w:rFonts w:ascii="Century Gothic" w:hAnsi="Century Gothic"/>
          <w:sz w:val="22"/>
          <w:szCs w:val="22"/>
        </w:rPr>
      </w:pPr>
      <w:r>
        <w:rPr>
          <w:rFonts w:ascii="Century Gothic" w:hAnsi="Century Gothic"/>
          <w:sz w:val="22"/>
          <w:szCs w:val="22"/>
        </w:rPr>
        <w:t>&lt;</w:t>
      </w:r>
      <w:hyperlink r:id="rId8" w:history="1">
        <w:r w:rsidR="003B4ACD" w:rsidRPr="00C0539D">
          <w:rPr>
            <w:rStyle w:val="Hyperlink"/>
            <w:rFonts w:ascii="Century Gothic" w:hAnsi="Century Gothic" w:cs="Arial"/>
            <w:sz w:val="22"/>
            <w:szCs w:val="22"/>
          </w:rPr>
          <w:t>https://www.google.com/amp/s/lawpavilion.com/blog/power-of-attorney-in-nigeria-the-law-the-power-and-the-practice/amp/</w:t>
        </w:r>
      </w:hyperlink>
      <w:r>
        <w:rPr>
          <w:rStyle w:val="Hyperlink"/>
          <w:rFonts w:ascii="Century Gothic" w:hAnsi="Century Gothic" w:cs="Arial"/>
          <w:sz w:val="22"/>
          <w:szCs w:val="22"/>
        </w:rPr>
        <w:t xml:space="preserve">&gt; </w:t>
      </w:r>
      <w:r>
        <w:rPr>
          <w:rFonts w:ascii="Century Gothic" w:hAnsi="Century Gothic" w:cs="Arial"/>
          <w:sz w:val="22"/>
          <w:szCs w:val="22"/>
        </w:rPr>
        <w:t xml:space="preserve"> </w:t>
      </w:r>
      <w:r>
        <w:rPr>
          <w:rFonts w:ascii="Century Gothic" w:hAnsi="Century Gothic"/>
          <w:sz w:val="22"/>
          <w:szCs w:val="22"/>
        </w:rPr>
        <w:t xml:space="preserve">Accessed 25 April 2025 </w:t>
      </w:r>
    </w:p>
    <w:p w14:paraId="4EFC39EC" w14:textId="77777777" w:rsidR="00D273D4" w:rsidRDefault="00D273D4" w:rsidP="003E7F80">
      <w:pPr>
        <w:spacing w:line="360" w:lineRule="auto"/>
        <w:rPr>
          <w:rFonts w:ascii="Century Gothic" w:hAnsi="Century Gothic"/>
          <w:sz w:val="22"/>
          <w:szCs w:val="22"/>
        </w:rPr>
      </w:pPr>
      <w:r>
        <w:rPr>
          <w:rFonts w:ascii="Century Gothic" w:hAnsi="Century Gothic"/>
          <w:sz w:val="22"/>
          <w:szCs w:val="22"/>
        </w:rPr>
        <w:t xml:space="preserve">S.O. </w:t>
      </w:r>
      <w:proofErr w:type="spellStart"/>
      <w:r>
        <w:rPr>
          <w:rFonts w:ascii="Century Gothic" w:hAnsi="Century Gothic"/>
          <w:sz w:val="22"/>
          <w:szCs w:val="22"/>
        </w:rPr>
        <w:t>Oloruntimehin</w:t>
      </w:r>
      <w:proofErr w:type="spellEnd"/>
      <w:r>
        <w:rPr>
          <w:rFonts w:ascii="Century Gothic" w:hAnsi="Century Gothic"/>
          <w:sz w:val="22"/>
          <w:szCs w:val="22"/>
        </w:rPr>
        <w:t xml:space="preserve"> &amp; Co, “Power of Attorney in Nigeria”  &lt;</w:t>
      </w:r>
      <w:hyperlink r:id="rId9" w:history="1">
        <w:r w:rsidR="003B4ACD" w:rsidRPr="00C0539D">
          <w:rPr>
            <w:rStyle w:val="Hyperlink"/>
            <w:rFonts w:ascii="Century Gothic" w:hAnsi="Century Gothic" w:cs="Arial"/>
            <w:sz w:val="22"/>
            <w:szCs w:val="22"/>
          </w:rPr>
          <w:t>https://www.sooloruntimehin.com/power-of-attorney-in-nigeria/</w:t>
        </w:r>
      </w:hyperlink>
      <w:r>
        <w:rPr>
          <w:rStyle w:val="Hyperlink"/>
          <w:rFonts w:ascii="Century Gothic" w:hAnsi="Century Gothic" w:cs="Arial"/>
          <w:sz w:val="22"/>
          <w:szCs w:val="22"/>
        </w:rPr>
        <w:t xml:space="preserve">&gt; </w:t>
      </w:r>
      <w:r>
        <w:rPr>
          <w:rFonts w:ascii="Century Gothic" w:hAnsi="Century Gothic"/>
          <w:sz w:val="22"/>
          <w:szCs w:val="22"/>
        </w:rPr>
        <w:t>Accessed 25 April 2025</w:t>
      </w:r>
    </w:p>
    <w:p w14:paraId="3EBC0D91" w14:textId="0728E662" w:rsidR="00D273D4" w:rsidRDefault="00D273D4" w:rsidP="003E7F80">
      <w:pPr>
        <w:spacing w:line="360" w:lineRule="auto"/>
        <w:rPr>
          <w:rFonts w:ascii="Century Gothic" w:hAnsi="Century Gothic"/>
          <w:sz w:val="22"/>
          <w:szCs w:val="22"/>
        </w:rPr>
      </w:pPr>
      <w:r>
        <w:rPr>
          <w:rFonts w:ascii="Century Gothic" w:hAnsi="Century Gothic"/>
          <w:sz w:val="22"/>
          <w:szCs w:val="22"/>
        </w:rPr>
        <w:t>Investopedia, “Power of Attorney: When You Need One” &lt;</w:t>
      </w:r>
      <w:hyperlink r:id="rId10" w:history="1">
        <w:r w:rsidR="005301F4" w:rsidRPr="00D768F2">
          <w:rPr>
            <w:rStyle w:val="Hyperlink"/>
            <w:rFonts w:ascii="Century Gothic" w:hAnsi="Century Gothic"/>
            <w:sz w:val="22"/>
            <w:szCs w:val="22"/>
          </w:rPr>
          <w:t>https://www.investopedia.com/articles/personal-finance/101514/power-attorney-do-you-need-one.asp</w:t>
        </w:r>
      </w:hyperlink>
      <w:r w:rsidR="005301F4">
        <w:rPr>
          <w:rFonts w:ascii="Century Gothic" w:hAnsi="Century Gothic"/>
          <w:sz w:val="22"/>
          <w:szCs w:val="22"/>
        </w:rPr>
        <w:t>&gt; Accessed 25 April 2025</w:t>
      </w:r>
    </w:p>
    <w:p w14:paraId="427B7C25" w14:textId="08D06B96" w:rsidR="003B4ACD" w:rsidRPr="00D273D4" w:rsidRDefault="00D273D4" w:rsidP="003E7F80">
      <w:pPr>
        <w:spacing w:line="360" w:lineRule="auto"/>
        <w:rPr>
          <w:rFonts w:ascii="Century Gothic" w:hAnsi="Century Gothic"/>
          <w:sz w:val="22"/>
          <w:szCs w:val="22"/>
        </w:rPr>
      </w:pPr>
      <w:r>
        <w:rPr>
          <w:rFonts w:ascii="Century Gothic" w:hAnsi="Century Gothic"/>
          <w:sz w:val="22"/>
          <w:szCs w:val="22"/>
        </w:rPr>
        <w:t>Resolution Law Firm, “Power of Attorney in Nigeria” &lt;</w:t>
      </w:r>
      <w:hyperlink r:id="rId11" w:history="1">
        <w:r w:rsidR="003B4ACD" w:rsidRPr="00D273D4">
          <w:rPr>
            <w:rStyle w:val="Hyperlink"/>
            <w:rFonts w:ascii="Century Gothic" w:hAnsi="Century Gothic" w:cs="Arial"/>
            <w:sz w:val="22"/>
            <w:szCs w:val="22"/>
          </w:rPr>
          <w:t>https://www.resolutionlawng.com/power-of-attorney-in-nigeria/</w:t>
        </w:r>
      </w:hyperlink>
      <w:r w:rsidRPr="00D273D4">
        <w:rPr>
          <w:rStyle w:val="Hyperlink"/>
          <w:rFonts w:ascii="Century Gothic" w:hAnsi="Century Gothic" w:cs="Arial"/>
          <w:sz w:val="22"/>
          <w:szCs w:val="22"/>
        </w:rPr>
        <w:t xml:space="preserve">&gt; </w:t>
      </w:r>
      <w:r w:rsidRPr="00D273D4">
        <w:rPr>
          <w:rFonts w:ascii="Century Gothic" w:hAnsi="Century Gothic"/>
          <w:sz w:val="22"/>
          <w:szCs w:val="22"/>
        </w:rPr>
        <w:t xml:space="preserve"> </w:t>
      </w:r>
      <w:r w:rsidRPr="00D273D4">
        <w:rPr>
          <w:rFonts w:ascii="Century Gothic" w:hAnsi="Century Gothic"/>
        </w:rPr>
        <w:t xml:space="preserve">Accessed 25 April 2025 </w:t>
      </w:r>
      <w:hyperlink r:id="rId12" w:history="1"/>
    </w:p>
    <w:sectPr w:rsidR="003B4ACD" w:rsidRPr="00D273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88E67" w14:textId="77777777" w:rsidR="00163C7E" w:rsidRDefault="00163C7E" w:rsidP="00C0539D">
      <w:pPr>
        <w:spacing w:after="0" w:line="240" w:lineRule="auto"/>
      </w:pPr>
      <w:r>
        <w:separator/>
      </w:r>
    </w:p>
  </w:endnote>
  <w:endnote w:type="continuationSeparator" w:id="0">
    <w:p w14:paraId="5E3DC839" w14:textId="77777777" w:rsidR="00163C7E" w:rsidRDefault="00163C7E" w:rsidP="00C0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839FE" w14:textId="77777777" w:rsidR="00163C7E" w:rsidRDefault="00163C7E" w:rsidP="00C0539D">
      <w:pPr>
        <w:spacing w:after="0" w:line="240" w:lineRule="auto"/>
      </w:pPr>
      <w:r>
        <w:separator/>
      </w:r>
    </w:p>
  </w:footnote>
  <w:footnote w:type="continuationSeparator" w:id="0">
    <w:p w14:paraId="196D010E" w14:textId="77777777" w:rsidR="00163C7E" w:rsidRDefault="00163C7E" w:rsidP="00C0539D">
      <w:pPr>
        <w:spacing w:after="0" w:line="240" w:lineRule="auto"/>
      </w:pPr>
      <w:r>
        <w:continuationSeparator/>
      </w:r>
    </w:p>
  </w:footnote>
  <w:footnote w:id="1">
    <w:p w14:paraId="59D16E19" w14:textId="6688CF4E" w:rsidR="00C0539D" w:rsidRDefault="00C0539D">
      <w:pPr>
        <w:pStyle w:val="FootnoteText"/>
      </w:pPr>
      <w:r>
        <w:rPr>
          <w:rStyle w:val="FootnoteReference"/>
        </w:rPr>
        <w:footnoteRef/>
      </w:r>
      <w:r>
        <w:t xml:space="preserve"> (1993) 2 NWLR (Pt.278) p. 638 - 664</w:t>
      </w:r>
    </w:p>
  </w:footnote>
  <w:footnote w:id="2">
    <w:p w14:paraId="0EF32289" w14:textId="20C923EB" w:rsidR="00C0539D" w:rsidRDefault="00C0539D">
      <w:pPr>
        <w:pStyle w:val="FootnoteText"/>
      </w:pPr>
      <w:r>
        <w:rPr>
          <w:rStyle w:val="FootnoteReference"/>
        </w:rPr>
        <w:footnoteRef/>
      </w:r>
      <w:r>
        <w:t xml:space="preserve"> (2012) LPELR</w:t>
      </w:r>
      <w:r w:rsidR="00135056">
        <w:t>-14261 (CA) Page 74. 74</w:t>
      </w:r>
    </w:p>
  </w:footnote>
  <w:footnote w:id="3">
    <w:p w14:paraId="74A9F5C2" w14:textId="38E57697" w:rsidR="00135056" w:rsidRDefault="00135056">
      <w:pPr>
        <w:pStyle w:val="FootnoteText"/>
      </w:pPr>
      <w:r>
        <w:rPr>
          <w:rStyle w:val="FootnoteReference"/>
        </w:rPr>
        <w:footnoteRef/>
      </w:r>
      <w:r>
        <w:t xml:space="preserve"> (1938) 14 NLR 17 </w:t>
      </w:r>
    </w:p>
  </w:footnote>
  <w:footnote w:id="4">
    <w:p w14:paraId="59E730E7" w14:textId="27503C1B" w:rsidR="00135056" w:rsidRDefault="00135056">
      <w:pPr>
        <w:pStyle w:val="FootnoteText"/>
      </w:pPr>
      <w:r>
        <w:rPr>
          <w:rStyle w:val="FootnoteReference"/>
        </w:rPr>
        <w:footnoteRef/>
      </w:r>
      <w:r>
        <w:t xml:space="preserve"> Ibid</w:t>
      </w:r>
    </w:p>
  </w:footnote>
  <w:footnote w:id="5">
    <w:p w14:paraId="60EF9708" w14:textId="7FD438A5" w:rsidR="00135056" w:rsidRDefault="00135056">
      <w:pPr>
        <w:pStyle w:val="FootnoteText"/>
      </w:pPr>
      <w:r>
        <w:rPr>
          <w:rStyle w:val="FootnoteReference"/>
        </w:rPr>
        <w:footnoteRef/>
      </w:r>
      <w:r>
        <w:t xml:space="preserve"> (2001) 3 NWLR (PT 701) 527 AT 549</w:t>
      </w:r>
    </w:p>
  </w:footnote>
  <w:footnote w:id="6">
    <w:p w14:paraId="4BE354E8" w14:textId="390A9D4B" w:rsidR="00135056" w:rsidRDefault="00135056">
      <w:pPr>
        <w:pStyle w:val="FootnoteText"/>
      </w:pPr>
      <w:r>
        <w:rPr>
          <w:rStyle w:val="FootnoteReference"/>
        </w:rPr>
        <w:footnoteRef/>
      </w:r>
      <w:r>
        <w:t xml:space="preserve"> ibid</w:t>
      </w:r>
    </w:p>
  </w:footnote>
  <w:footnote w:id="7">
    <w:p w14:paraId="51295B3B" w14:textId="51DD987B" w:rsidR="00135056" w:rsidRDefault="00135056">
      <w:pPr>
        <w:pStyle w:val="FootnoteText"/>
      </w:pPr>
      <w:r>
        <w:rPr>
          <w:rStyle w:val="FootnoteReference"/>
        </w:rPr>
        <w:footnoteRef/>
      </w:r>
      <w:r>
        <w:t xml:space="preserve"> ibid</w:t>
      </w:r>
    </w:p>
  </w:footnote>
  <w:footnote w:id="8">
    <w:p w14:paraId="63AE6EF2" w14:textId="3E10E2DF" w:rsidR="00135056" w:rsidRDefault="00135056">
      <w:pPr>
        <w:pStyle w:val="FootnoteText"/>
      </w:pPr>
      <w:r>
        <w:rPr>
          <w:rStyle w:val="FootnoteReference"/>
        </w:rPr>
        <w:footnoteRef/>
      </w:r>
      <w:r>
        <w:t xml:space="preserve"> (1990) 4 NWLR </w:t>
      </w:r>
      <w:proofErr w:type="spellStart"/>
      <w:r>
        <w:t>pt</w:t>
      </w:r>
      <w:proofErr w:type="spellEnd"/>
      <w:r>
        <w:t xml:space="preserve"> 144, </w:t>
      </w:r>
      <w:proofErr w:type="spellStart"/>
      <w:r>
        <w:t>pg</w:t>
      </w:r>
      <w:proofErr w:type="spellEnd"/>
      <w:r>
        <w:t xml:space="preserve"> 407</w:t>
      </w:r>
    </w:p>
  </w:footnote>
  <w:footnote w:id="9">
    <w:p w14:paraId="64ADBABE" w14:textId="5D083081" w:rsidR="00135056" w:rsidRDefault="00135056">
      <w:pPr>
        <w:pStyle w:val="FootnoteText"/>
      </w:pPr>
      <w:r>
        <w:rPr>
          <w:rStyle w:val="FootnoteReference"/>
        </w:rPr>
        <w:footnoteRef/>
      </w:r>
      <w:r>
        <w:t xml:space="preserve"> Section 46 (1) of Conveyancing Act; Section 141(1) of Property and Conveyancing Law. </w:t>
      </w:r>
    </w:p>
  </w:footnote>
  <w:footnote w:id="10">
    <w:p w14:paraId="1C409C56" w14:textId="3786AB5A" w:rsidR="00135056" w:rsidRDefault="00135056">
      <w:pPr>
        <w:pStyle w:val="FootnoteText"/>
      </w:pPr>
      <w:r>
        <w:rPr>
          <w:rStyle w:val="FootnoteReference"/>
        </w:rPr>
        <w:footnoteRef/>
      </w:r>
      <w:r>
        <w:t xml:space="preserve"> ibid</w:t>
      </w:r>
    </w:p>
  </w:footnote>
  <w:footnote w:id="11">
    <w:p w14:paraId="0ABC9829" w14:textId="1ED589ED" w:rsidR="00AC38E7" w:rsidRDefault="00AC38E7">
      <w:pPr>
        <w:pStyle w:val="FootnoteText"/>
      </w:pPr>
      <w:r>
        <w:rPr>
          <w:rStyle w:val="FootnoteReference"/>
        </w:rPr>
        <w:footnoteRef/>
      </w:r>
      <w:r>
        <w:t xml:space="preserve"> (2002) 2 NWLR (PT 753) 217 AT 274</w:t>
      </w:r>
    </w:p>
  </w:footnote>
  <w:footnote w:id="12">
    <w:p w14:paraId="7107F620" w14:textId="7FE61D65" w:rsidR="00AC38E7" w:rsidRDefault="00AC38E7">
      <w:pPr>
        <w:pStyle w:val="FootnoteText"/>
      </w:pPr>
      <w:r>
        <w:rPr>
          <w:rStyle w:val="FootnoteReference"/>
        </w:rPr>
        <w:footnoteRef/>
      </w:r>
      <w:r>
        <w:t xml:space="preserve"> (2018) 15 NWLR (Pt. 1641) 38</w:t>
      </w:r>
    </w:p>
  </w:footnote>
  <w:footnote w:id="13">
    <w:p w14:paraId="3EEF7FF5" w14:textId="1151D962" w:rsidR="00AC38E7" w:rsidRDefault="00AC38E7">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ECD"/>
    <w:multiLevelType w:val="hybridMultilevel"/>
    <w:tmpl w:val="870E98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B8F61B2"/>
    <w:multiLevelType w:val="hybridMultilevel"/>
    <w:tmpl w:val="8AFE9A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77749A1"/>
    <w:multiLevelType w:val="multilevel"/>
    <w:tmpl w:val="C7B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6517F"/>
    <w:multiLevelType w:val="hybridMultilevel"/>
    <w:tmpl w:val="1C0A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31B75"/>
    <w:multiLevelType w:val="hybridMultilevel"/>
    <w:tmpl w:val="46C2E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13CD9"/>
    <w:multiLevelType w:val="hybridMultilevel"/>
    <w:tmpl w:val="17A8C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C20F9"/>
    <w:multiLevelType w:val="hybridMultilevel"/>
    <w:tmpl w:val="13D6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6B238A"/>
    <w:multiLevelType w:val="multilevel"/>
    <w:tmpl w:val="162050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6A"/>
    <w:rsid w:val="00135056"/>
    <w:rsid w:val="00163C7E"/>
    <w:rsid w:val="0019097D"/>
    <w:rsid w:val="002E4A36"/>
    <w:rsid w:val="003509EC"/>
    <w:rsid w:val="003B4ACD"/>
    <w:rsid w:val="003E7F80"/>
    <w:rsid w:val="005301F4"/>
    <w:rsid w:val="0053646A"/>
    <w:rsid w:val="00622C31"/>
    <w:rsid w:val="007531FF"/>
    <w:rsid w:val="0084281C"/>
    <w:rsid w:val="009E1480"/>
    <w:rsid w:val="00A21D66"/>
    <w:rsid w:val="00AC38E7"/>
    <w:rsid w:val="00AF0C11"/>
    <w:rsid w:val="00C0539D"/>
    <w:rsid w:val="00D273D4"/>
    <w:rsid w:val="00DA48CD"/>
    <w:rsid w:val="00DC7EBD"/>
    <w:rsid w:val="00E03978"/>
    <w:rsid w:val="00E5414E"/>
    <w:rsid w:val="00E91D3E"/>
    <w:rsid w:val="00F5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EA8C0"/>
  <w15:chartTrackingRefBased/>
  <w15:docId w15:val="{6CA3A9CC-0AD2-4EB0-9BBE-5E5733F1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64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64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64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64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64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6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4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64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64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64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64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6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46A"/>
    <w:rPr>
      <w:rFonts w:eastAsiaTheme="majorEastAsia" w:cstheme="majorBidi"/>
      <w:color w:val="272727" w:themeColor="text1" w:themeTint="D8"/>
    </w:rPr>
  </w:style>
  <w:style w:type="paragraph" w:styleId="Title">
    <w:name w:val="Title"/>
    <w:basedOn w:val="Normal"/>
    <w:next w:val="Normal"/>
    <w:link w:val="TitleChar"/>
    <w:uiPriority w:val="10"/>
    <w:qFormat/>
    <w:rsid w:val="00536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46A"/>
    <w:pPr>
      <w:spacing w:before="160"/>
      <w:jc w:val="center"/>
    </w:pPr>
    <w:rPr>
      <w:i/>
      <w:iCs/>
      <w:color w:val="404040" w:themeColor="text1" w:themeTint="BF"/>
    </w:rPr>
  </w:style>
  <w:style w:type="character" w:customStyle="1" w:styleId="QuoteChar">
    <w:name w:val="Quote Char"/>
    <w:basedOn w:val="DefaultParagraphFont"/>
    <w:link w:val="Quote"/>
    <w:uiPriority w:val="29"/>
    <w:rsid w:val="0053646A"/>
    <w:rPr>
      <w:i/>
      <w:iCs/>
      <w:color w:val="404040" w:themeColor="text1" w:themeTint="BF"/>
    </w:rPr>
  </w:style>
  <w:style w:type="paragraph" w:styleId="ListParagraph">
    <w:name w:val="List Paragraph"/>
    <w:basedOn w:val="Normal"/>
    <w:uiPriority w:val="34"/>
    <w:qFormat/>
    <w:rsid w:val="0053646A"/>
    <w:pPr>
      <w:ind w:left="720"/>
      <w:contextualSpacing/>
    </w:pPr>
  </w:style>
  <w:style w:type="character" w:styleId="IntenseEmphasis">
    <w:name w:val="Intense Emphasis"/>
    <w:basedOn w:val="DefaultParagraphFont"/>
    <w:uiPriority w:val="21"/>
    <w:qFormat/>
    <w:rsid w:val="0053646A"/>
    <w:rPr>
      <w:i/>
      <w:iCs/>
      <w:color w:val="2F5496" w:themeColor="accent1" w:themeShade="BF"/>
    </w:rPr>
  </w:style>
  <w:style w:type="paragraph" w:styleId="IntenseQuote">
    <w:name w:val="Intense Quote"/>
    <w:basedOn w:val="Normal"/>
    <w:next w:val="Normal"/>
    <w:link w:val="IntenseQuoteChar"/>
    <w:uiPriority w:val="30"/>
    <w:qFormat/>
    <w:rsid w:val="00536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646A"/>
    <w:rPr>
      <w:i/>
      <w:iCs/>
      <w:color w:val="2F5496" w:themeColor="accent1" w:themeShade="BF"/>
    </w:rPr>
  </w:style>
  <w:style w:type="character" w:styleId="IntenseReference">
    <w:name w:val="Intense Reference"/>
    <w:basedOn w:val="DefaultParagraphFont"/>
    <w:uiPriority w:val="32"/>
    <w:qFormat/>
    <w:rsid w:val="0053646A"/>
    <w:rPr>
      <w:b/>
      <w:bCs/>
      <w:smallCaps/>
      <w:color w:val="2F5496" w:themeColor="accent1" w:themeShade="BF"/>
      <w:spacing w:val="5"/>
    </w:rPr>
  </w:style>
  <w:style w:type="character" w:styleId="Strong">
    <w:name w:val="Strong"/>
    <w:basedOn w:val="DefaultParagraphFont"/>
    <w:uiPriority w:val="22"/>
    <w:qFormat/>
    <w:rsid w:val="003509EC"/>
    <w:rPr>
      <w:b/>
      <w:bCs/>
    </w:rPr>
  </w:style>
  <w:style w:type="paragraph" w:styleId="NormalWeb">
    <w:name w:val="Normal (Web)"/>
    <w:basedOn w:val="Normal"/>
    <w:uiPriority w:val="99"/>
    <w:semiHidden/>
    <w:unhideWhenUsed/>
    <w:rsid w:val="001909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B4ACD"/>
    <w:rPr>
      <w:color w:val="0563C1" w:themeColor="hyperlink"/>
      <w:u w:val="single"/>
    </w:rPr>
  </w:style>
  <w:style w:type="character" w:customStyle="1" w:styleId="UnresolvedMention">
    <w:name w:val="Unresolved Mention"/>
    <w:basedOn w:val="DefaultParagraphFont"/>
    <w:uiPriority w:val="99"/>
    <w:semiHidden/>
    <w:unhideWhenUsed/>
    <w:rsid w:val="003B4ACD"/>
    <w:rPr>
      <w:color w:val="605E5C"/>
      <w:shd w:val="clear" w:color="auto" w:fill="E1DFDD"/>
    </w:rPr>
  </w:style>
  <w:style w:type="paragraph" w:styleId="FootnoteText">
    <w:name w:val="footnote text"/>
    <w:basedOn w:val="Normal"/>
    <w:link w:val="FootnoteTextChar"/>
    <w:uiPriority w:val="99"/>
    <w:semiHidden/>
    <w:unhideWhenUsed/>
    <w:rsid w:val="00C053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39D"/>
    <w:rPr>
      <w:sz w:val="20"/>
      <w:szCs w:val="20"/>
    </w:rPr>
  </w:style>
  <w:style w:type="character" w:styleId="FootnoteReference">
    <w:name w:val="footnote reference"/>
    <w:basedOn w:val="DefaultParagraphFont"/>
    <w:uiPriority w:val="99"/>
    <w:semiHidden/>
    <w:unhideWhenUsed/>
    <w:rsid w:val="00C053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2506">
      <w:bodyDiv w:val="1"/>
      <w:marLeft w:val="0"/>
      <w:marRight w:val="0"/>
      <w:marTop w:val="0"/>
      <w:marBottom w:val="0"/>
      <w:divBdr>
        <w:top w:val="none" w:sz="0" w:space="0" w:color="auto"/>
        <w:left w:val="none" w:sz="0" w:space="0" w:color="auto"/>
        <w:bottom w:val="none" w:sz="0" w:space="0" w:color="auto"/>
        <w:right w:val="none" w:sz="0" w:space="0" w:color="auto"/>
      </w:divBdr>
    </w:div>
    <w:div w:id="39672967">
      <w:bodyDiv w:val="1"/>
      <w:marLeft w:val="0"/>
      <w:marRight w:val="0"/>
      <w:marTop w:val="0"/>
      <w:marBottom w:val="0"/>
      <w:divBdr>
        <w:top w:val="none" w:sz="0" w:space="0" w:color="auto"/>
        <w:left w:val="none" w:sz="0" w:space="0" w:color="auto"/>
        <w:bottom w:val="none" w:sz="0" w:space="0" w:color="auto"/>
        <w:right w:val="none" w:sz="0" w:space="0" w:color="auto"/>
      </w:divBdr>
    </w:div>
    <w:div w:id="61293470">
      <w:bodyDiv w:val="1"/>
      <w:marLeft w:val="0"/>
      <w:marRight w:val="0"/>
      <w:marTop w:val="0"/>
      <w:marBottom w:val="0"/>
      <w:divBdr>
        <w:top w:val="none" w:sz="0" w:space="0" w:color="auto"/>
        <w:left w:val="none" w:sz="0" w:space="0" w:color="auto"/>
        <w:bottom w:val="none" w:sz="0" w:space="0" w:color="auto"/>
        <w:right w:val="none" w:sz="0" w:space="0" w:color="auto"/>
      </w:divBdr>
    </w:div>
    <w:div w:id="287396880">
      <w:bodyDiv w:val="1"/>
      <w:marLeft w:val="0"/>
      <w:marRight w:val="0"/>
      <w:marTop w:val="0"/>
      <w:marBottom w:val="0"/>
      <w:divBdr>
        <w:top w:val="none" w:sz="0" w:space="0" w:color="auto"/>
        <w:left w:val="none" w:sz="0" w:space="0" w:color="auto"/>
        <w:bottom w:val="none" w:sz="0" w:space="0" w:color="auto"/>
        <w:right w:val="none" w:sz="0" w:space="0" w:color="auto"/>
      </w:divBdr>
    </w:div>
    <w:div w:id="474834243">
      <w:bodyDiv w:val="1"/>
      <w:marLeft w:val="0"/>
      <w:marRight w:val="0"/>
      <w:marTop w:val="0"/>
      <w:marBottom w:val="0"/>
      <w:divBdr>
        <w:top w:val="none" w:sz="0" w:space="0" w:color="auto"/>
        <w:left w:val="none" w:sz="0" w:space="0" w:color="auto"/>
        <w:bottom w:val="none" w:sz="0" w:space="0" w:color="auto"/>
        <w:right w:val="none" w:sz="0" w:space="0" w:color="auto"/>
      </w:divBdr>
    </w:div>
    <w:div w:id="669410254">
      <w:bodyDiv w:val="1"/>
      <w:marLeft w:val="0"/>
      <w:marRight w:val="0"/>
      <w:marTop w:val="0"/>
      <w:marBottom w:val="0"/>
      <w:divBdr>
        <w:top w:val="none" w:sz="0" w:space="0" w:color="auto"/>
        <w:left w:val="none" w:sz="0" w:space="0" w:color="auto"/>
        <w:bottom w:val="none" w:sz="0" w:space="0" w:color="auto"/>
        <w:right w:val="none" w:sz="0" w:space="0" w:color="auto"/>
      </w:divBdr>
    </w:div>
    <w:div w:id="950477897">
      <w:bodyDiv w:val="1"/>
      <w:marLeft w:val="0"/>
      <w:marRight w:val="0"/>
      <w:marTop w:val="0"/>
      <w:marBottom w:val="0"/>
      <w:divBdr>
        <w:top w:val="none" w:sz="0" w:space="0" w:color="auto"/>
        <w:left w:val="none" w:sz="0" w:space="0" w:color="auto"/>
        <w:bottom w:val="none" w:sz="0" w:space="0" w:color="auto"/>
        <w:right w:val="none" w:sz="0" w:space="0" w:color="auto"/>
      </w:divBdr>
    </w:div>
    <w:div w:id="1203635796">
      <w:bodyDiv w:val="1"/>
      <w:marLeft w:val="0"/>
      <w:marRight w:val="0"/>
      <w:marTop w:val="0"/>
      <w:marBottom w:val="0"/>
      <w:divBdr>
        <w:top w:val="none" w:sz="0" w:space="0" w:color="auto"/>
        <w:left w:val="none" w:sz="0" w:space="0" w:color="auto"/>
        <w:bottom w:val="none" w:sz="0" w:space="0" w:color="auto"/>
        <w:right w:val="none" w:sz="0" w:space="0" w:color="auto"/>
      </w:divBdr>
    </w:div>
    <w:div w:id="1425690469">
      <w:bodyDiv w:val="1"/>
      <w:marLeft w:val="0"/>
      <w:marRight w:val="0"/>
      <w:marTop w:val="0"/>
      <w:marBottom w:val="0"/>
      <w:divBdr>
        <w:top w:val="none" w:sz="0" w:space="0" w:color="auto"/>
        <w:left w:val="none" w:sz="0" w:space="0" w:color="auto"/>
        <w:bottom w:val="none" w:sz="0" w:space="0" w:color="auto"/>
        <w:right w:val="none" w:sz="0" w:space="0" w:color="auto"/>
      </w:divBdr>
    </w:div>
    <w:div w:id="1558206099">
      <w:bodyDiv w:val="1"/>
      <w:marLeft w:val="0"/>
      <w:marRight w:val="0"/>
      <w:marTop w:val="0"/>
      <w:marBottom w:val="0"/>
      <w:divBdr>
        <w:top w:val="none" w:sz="0" w:space="0" w:color="auto"/>
        <w:left w:val="none" w:sz="0" w:space="0" w:color="auto"/>
        <w:bottom w:val="none" w:sz="0" w:space="0" w:color="auto"/>
        <w:right w:val="none" w:sz="0" w:space="0" w:color="auto"/>
      </w:divBdr>
    </w:div>
    <w:div w:id="1714959775">
      <w:bodyDiv w:val="1"/>
      <w:marLeft w:val="0"/>
      <w:marRight w:val="0"/>
      <w:marTop w:val="0"/>
      <w:marBottom w:val="0"/>
      <w:divBdr>
        <w:top w:val="none" w:sz="0" w:space="0" w:color="auto"/>
        <w:left w:val="none" w:sz="0" w:space="0" w:color="auto"/>
        <w:bottom w:val="none" w:sz="0" w:space="0" w:color="auto"/>
        <w:right w:val="none" w:sz="0" w:space="0" w:color="auto"/>
      </w:divBdr>
    </w:div>
    <w:div w:id="18242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mp/s/lawpavilion.com/blog/power-of-attorney-in-nigeria-the-law-the-power-and-the-practice/a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olutionlawng.com/power-of-attorney-in-niger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olutionlawng.com/power-of-attorney-in-nigeria/" TargetMode="External"/><Relationship Id="rId5" Type="http://schemas.openxmlformats.org/officeDocument/2006/relationships/webSettings" Target="webSettings.xml"/><Relationship Id="rId10" Type="http://schemas.openxmlformats.org/officeDocument/2006/relationships/hyperlink" Target="https://www.investopedia.com/articles/personal-finance/101514/power-attorney-do-you-need-one.asp" TargetMode="External"/><Relationship Id="rId4" Type="http://schemas.openxmlformats.org/officeDocument/2006/relationships/settings" Target="settings.xml"/><Relationship Id="rId9" Type="http://schemas.openxmlformats.org/officeDocument/2006/relationships/hyperlink" Target="https://www.sooloruntimehin.com/power-of-attorney-in-niger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30AAB-7760-4C7C-A577-35964767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Aremu Monilola</cp:lastModifiedBy>
  <cp:revision>7</cp:revision>
  <dcterms:created xsi:type="dcterms:W3CDTF">2025-04-27T15:16:00Z</dcterms:created>
  <dcterms:modified xsi:type="dcterms:W3CDTF">2025-04-28T07:51:00Z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43e3d5a8-008a-478d-a6d9-7a338222bb83</vt:lpwstr>
  </property>
</Properties>
</file>